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12" w:rsidRDefault="004B3F12">
      <w:pPr>
        <w:rPr>
          <w:noProof/>
          <w:lang w:eastAsia="es-MX"/>
        </w:rPr>
      </w:pP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  <w:bookmarkStart w:id="0" w:name="_GoBack"/>
      <w:bookmarkEnd w:id="0"/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PRESIDENCIA MUNICIPAL DE ZARAGOZA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9B357B">
      <w:pPr>
        <w:jc w:val="center"/>
        <w:rPr>
          <w:b/>
          <w:noProof/>
          <w:sz w:val="32"/>
          <w:szCs w:val="32"/>
          <w:lang w:eastAsia="es-MX"/>
        </w:rPr>
      </w:pPr>
      <w:r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2084705" cy="20847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245F65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c</w:t>
      </w:r>
      <w:r w:rsidR="001654F5">
        <w:rPr>
          <w:rFonts w:ascii="Perpetua Titling MT" w:hAnsi="Perpetua Titling MT"/>
          <w:b/>
          <w:noProof/>
          <w:sz w:val="44"/>
          <w:szCs w:val="44"/>
          <w:lang w:eastAsia="es-MX"/>
        </w:rPr>
        <w:t>UARTO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 TRIMESTRE DE 2015</w:t>
      </w:r>
    </w:p>
    <w:p w:rsidR="00475B47" w:rsidRDefault="00475B47"/>
    <w:p w:rsidR="00843313" w:rsidRDefault="00843313"/>
    <w:p w:rsidR="00843313" w:rsidRDefault="00843313"/>
    <w:p w:rsidR="00843313" w:rsidRDefault="00843313"/>
    <w:p w:rsidR="00843313" w:rsidRDefault="00843313"/>
    <w:p w:rsidR="00843313" w:rsidRDefault="00843313"/>
    <w:p w:rsidR="00843313" w:rsidRPr="00843313" w:rsidRDefault="00843313">
      <w:pPr>
        <w:rPr>
          <w:b/>
          <w:sz w:val="28"/>
          <w:szCs w:val="28"/>
        </w:rPr>
      </w:pPr>
      <w:r w:rsidRPr="00843313">
        <w:rPr>
          <w:b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16478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10" cy="164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3313">
        <w:rPr>
          <w:b/>
          <w:sz w:val="28"/>
          <w:szCs w:val="28"/>
        </w:rPr>
        <w:t>PRESIDENCIA MUNICIPAL DE ZARAGOZA</w:t>
      </w:r>
      <w:r w:rsidRPr="00843313">
        <w:rPr>
          <w:b/>
          <w:sz w:val="28"/>
          <w:szCs w:val="28"/>
        </w:rPr>
        <w:br w:type="textWrapping" w:clear="all"/>
      </w:r>
    </w:p>
    <w:p w:rsidR="00843313" w:rsidRPr="00843313" w:rsidRDefault="00843313" w:rsidP="00843313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>II.- NOTAS DE MEMORIA</w:t>
      </w:r>
    </w:p>
    <w:p w:rsidR="00843313" w:rsidRDefault="00843313" w:rsidP="00843313">
      <w:pPr>
        <w:pStyle w:val="Sinespaciado"/>
        <w:rPr>
          <w:b/>
        </w:rPr>
      </w:pPr>
      <w:r w:rsidRPr="00843313">
        <w:rPr>
          <w:b/>
        </w:rPr>
        <w:t>(Cuentas de Orden)</w:t>
      </w: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rPr>
          <w:b/>
        </w:rPr>
      </w:pPr>
    </w:p>
    <w:p w:rsidR="00843313" w:rsidRDefault="00843313" w:rsidP="00843313">
      <w:pPr>
        <w:pStyle w:val="Sinespaciado"/>
        <w:jc w:val="center"/>
        <w:rPr>
          <w:b/>
        </w:rPr>
      </w:pPr>
      <w:r>
        <w:rPr>
          <w:b/>
        </w:rPr>
        <w:t>CUENTAS DE ORDEN PRESUPUESTALES</w:t>
      </w:r>
    </w:p>
    <w:p w:rsidR="004C387F" w:rsidRDefault="004C387F" w:rsidP="00843313">
      <w:pPr>
        <w:pStyle w:val="Sinespaciado"/>
        <w:jc w:val="center"/>
        <w:rPr>
          <w:b/>
        </w:rPr>
      </w:pPr>
      <w:r>
        <w:rPr>
          <w:b/>
        </w:rPr>
        <w:t>DEL 01 DE ENERO AL 3</w:t>
      </w:r>
      <w:r w:rsidR="001654F5">
        <w:rPr>
          <w:b/>
        </w:rPr>
        <w:t>1</w:t>
      </w:r>
      <w:r>
        <w:rPr>
          <w:b/>
        </w:rPr>
        <w:t xml:space="preserve"> DE </w:t>
      </w:r>
      <w:r w:rsidR="001654F5">
        <w:rPr>
          <w:b/>
        </w:rPr>
        <w:t>DIC</w:t>
      </w:r>
      <w:r w:rsidR="004812A1">
        <w:rPr>
          <w:b/>
        </w:rPr>
        <w:t>IEMBRE</w:t>
      </w:r>
      <w:r w:rsidR="001654F5">
        <w:rPr>
          <w:b/>
        </w:rPr>
        <w:t xml:space="preserve"> DE 2015</w:t>
      </w:r>
    </w:p>
    <w:p w:rsidR="00843313" w:rsidRDefault="00843313" w:rsidP="00843313">
      <w:pPr>
        <w:pStyle w:val="Sinespaciado"/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1985"/>
      </w:tblGrid>
      <w:tr w:rsidR="00843313" w:rsidTr="007C6E23">
        <w:tc>
          <w:tcPr>
            <w:tcW w:w="4928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CUENTA</w:t>
            </w:r>
          </w:p>
        </w:tc>
        <w:tc>
          <w:tcPr>
            <w:tcW w:w="2126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DEBE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  <w:tc>
          <w:tcPr>
            <w:tcW w:w="1985" w:type="dxa"/>
          </w:tcPr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HABER</w:t>
            </w:r>
          </w:p>
          <w:p w:rsidR="00843313" w:rsidRDefault="00843313" w:rsidP="00843313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(pesos)</w:t>
            </w: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rPr>
                <w:b/>
              </w:rPr>
              <w:t>LEY DE INGRESOS</w:t>
            </w:r>
          </w:p>
        </w:tc>
        <w:tc>
          <w:tcPr>
            <w:tcW w:w="2126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843313" w:rsidRDefault="00843313" w:rsidP="003A21A8">
            <w:pPr>
              <w:pStyle w:val="Sinespaciado"/>
              <w:jc w:val="right"/>
              <w:rPr>
                <w:b/>
              </w:rPr>
            </w:pPr>
          </w:p>
        </w:tc>
      </w:tr>
      <w:tr w:rsidR="00843313" w:rsidTr="003A21A8">
        <w:tc>
          <w:tcPr>
            <w:tcW w:w="4928" w:type="dxa"/>
          </w:tcPr>
          <w:p w:rsidR="00843313" w:rsidRPr="00843313" w:rsidRDefault="00843313" w:rsidP="00843313">
            <w:pPr>
              <w:pStyle w:val="Sinespaciado"/>
            </w:pPr>
            <w:r w:rsidRPr="00843313">
              <w:t>Ley de ingresos Estimada</w:t>
            </w:r>
          </w:p>
        </w:tc>
        <w:tc>
          <w:tcPr>
            <w:tcW w:w="2126" w:type="dxa"/>
          </w:tcPr>
          <w:p w:rsidR="00843313" w:rsidRPr="003A21A8" w:rsidRDefault="004C387F" w:rsidP="003A21A8">
            <w:pPr>
              <w:pStyle w:val="Sinespaciado"/>
              <w:jc w:val="right"/>
            </w:pPr>
            <w:r>
              <w:t>58,354,249.97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por ejecutar</w:t>
            </w:r>
          </w:p>
        </w:tc>
        <w:tc>
          <w:tcPr>
            <w:tcW w:w="2126" w:type="dxa"/>
          </w:tcPr>
          <w:p w:rsidR="00AA3B37" w:rsidRPr="003A21A8" w:rsidRDefault="002A359B" w:rsidP="002A359B">
            <w:pPr>
              <w:pStyle w:val="Sinespaciado"/>
              <w:jc w:val="right"/>
            </w:pPr>
            <w:r>
              <w:t>4</w:t>
            </w:r>
            <w:r w:rsidR="00245F65">
              <w:t>5</w:t>
            </w:r>
            <w:r w:rsidR="00AA3B37">
              <w:t>,</w:t>
            </w:r>
            <w:r>
              <w:t>925</w:t>
            </w:r>
            <w:r w:rsidR="00245F65">
              <w:t>,</w:t>
            </w:r>
            <w:r>
              <w:t>678</w:t>
            </w:r>
            <w:r w:rsidR="00AA3B37">
              <w:t>.</w:t>
            </w:r>
            <w:r>
              <w:t>31</w:t>
            </w: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7C6E23">
            <w:r>
              <w:t xml:space="preserve">Modificaciones a la </w:t>
            </w:r>
            <w:r w:rsidR="007C6E23">
              <w:t>L</w:t>
            </w:r>
            <w:r>
              <w:t xml:space="preserve">ey de </w:t>
            </w:r>
            <w:r w:rsidR="007C6E23">
              <w:t>I</w:t>
            </w:r>
            <w:r>
              <w:t>ngresos  Estimada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>
            <w:r>
              <w:t>Ley de ingresos Devengada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843313" w:rsidTr="003A21A8">
        <w:tc>
          <w:tcPr>
            <w:tcW w:w="4928" w:type="dxa"/>
          </w:tcPr>
          <w:p w:rsidR="00843313" w:rsidRDefault="00843313" w:rsidP="00843313">
            <w:pPr>
              <w:pStyle w:val="Sinespaciado"/>
              <w:rPr>
                <w:b/>
              </w:rPr>
            </w:pPr>
            <w:r>
              <w:t>Ley de ingresos Recaudada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2A359B" w:rsidP="002A359B">
            <w:pPr>
              <w:pStyle w:val="Sinespaciado"/>
              <w:jc w:val="right"/>
            </w:pPr>
            <w:r>
              <w:t>4</w:t>
            </w:r>
            <w:r w:rsidR="00245F65">
              <w:t>5,</w:t>
            </w:r>
            <w:r>
              <w:t>925</w:t>
            </w:r>
            <w:r w:rsidR="00245F65">
              <w:t>,</w:t>
            </w:r>
            <w:r>
              <w:t>678</w:t>
            </w:r>
            <w:r w:rsidR="00245F65">
              <w:t>.</w:t>
            </w:r>
            <w:r>
              <w:t>31</w:t>
            </w:r>
          </w:p>
        </w:tc>
      </w:tr>
      <w:tr w:rsidR="00843313" w:rsidTr="003A21A8">
        <w:tc>
          <w:tcPr>
            <w:tcW w:w="4928" w:type="dxa"/>
          </w:tcPr>
          <w:p w:rsidR="00843313" w:rsidRDefault="007C6E23" w:rsidP="007C6E23">
            <w:pPr>
              <w:pStyle w:val="Sinespaciado"/>
              <w:rPr>
                <w:b/>
              </w:rPr>
            </w:pPr>
            <w:r>
              <w:rPr>
                <w:b/>
              </w:rPr>
              <w:t>PRESUPUESTO DE EGRESOS</w:t>
            </w:r>
          </w:p>
        </w:tc>
        <w:tc>
          <w:tcPr>
            <w:tcW w:w="2126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843313" w:rsidRPr="003A21A8" w:rsidRDefault="00843313" w:rsidP="003A21A8">
            <w:pPr>
              <w:pStyle w:val="Sinespaciado"/>
              <w:jc w:val="right"/>
            </w:pPr>
          </w:p>
        </w:tc>
      </w:tr>
      <w:tr w:rsidR="007C6E23" w:rsidTr="003A21A8">
        <w:tc>
          <w:tcPr>
            <w:tcW w:w="4928" w:type="dxa"/>
          </w:tcPr>
          <w:p w:rsidR="007C6E23" w:rsidRPr="007C6E23" w:rsidRDefault="007C6E23" w:rsidP="007C6E23">
            <w:pPr>
              <w:pStyle w:val="Sinespaciado"/>
            </w:pPr>
            <w:r w:rsidRPr="007C6E23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  <w:tc>
          <w:tcPr>
            <w:tcW w:w="1985" w:type="dxa"/>
          </w:tcPr>
          <w:p w:rsidR="007C6E23" w:rsidRPr="003A21A8" w:rsidRDefault="004C387F" w:rsidP="003A21A8">
            <w:pPr>
              <w:pStyle w:val="Sinespaciado"/>
              <w:jc w:val="right"/>
            </w:pPr>
            <w:r>
              <w:t>58,354,249.97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por Ejercer</w:t>
            </w:r>
          </w:p>
        </w:tc>
        <w:tc>
          <w:tcPr>
            <w:tcW w:w="2126" w:type="dxa"/>
          </w:tcPr>
          <w:p w:rsidR="007C6E23" w:rsidRPr="003A21A8" w:rsidRDefault="0053758B" w:rsidP="00245F65">
            <w:pPr>
              <w:pStyle w:val="Sinespaciado"/>
              <w:jc w:val="right"/>
            </w:pPr>
            <w:r>
              <w:t>83,855,846.33</w:t>
            </w:r>
          </w:p>
        </w:tc>
        <w:tc>
          <w:tcPr>
            <w:tcW w:w="1985" w:type="dxa"/>
          </w:tcPr>
          <w:p w:rsidR="007C6E23" w:rsidRPr="003A21A8" w:rsidRDefault="0053758B" w:rsidP="0053758B">
            <w:pPr>
              <w:pStyle w:val="Sinespaciado"/>
              <w:jc w:val="right"/>
            </w:pPr>
            <w:r>
              <w:t>75</w:t>
            </w:r>
            <w:r w:rsidR="004812A1">
              <w:t>,</w:t>
            </w:r>
            <w:r>
              <w:t>686</w:t>
            </w:r>
            <w:r w:rsidR="004812A1">
              <w:t>,</w:t>
            </w:r>
            <w:r>
              <w:t>735</w:t>
            </w:r>
            <w:r w:rsidR="004812A1">
              <w:t>.</w:t>
            </w:r>
            <w:r>
              <w:t>82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 xml:space="preserve">Modificaciones al </w:t>
            </w:r>
            <w:r w:rsidRPr="00BF0C26">
              <w:t>Presupuesto de Egresos Aprobado</w:t>
            </w:r>
          </w:p>
        </w:tc>
        <w:tc>
          <w:tcPr>
            <w:tcW w:w="2126" w:type="dxa"/>
          </w:tcPr>
          <w:p w:rsidR="007C6E23" w:rsidRPr="003A21A8" w:rsidRDefault="0053758B" w:rsidP="0053758B">
            <w:pPr>
              <w:pStyle w:val="Sinespaciado"/>
              <w:jc w:val="right"/>
            </w:pPr>
            <w:r>
              <w:t>8</w:t>
            </w:r>
            <w:r w:rsidR="004812A1">
              <w:t>,</w:t>
            </w:r>
            <w:r>
              <w:t>169</w:t>
            </w:r>
            <w:r w:rsidR="004812A1">
              <w:t>,</w:t>
            </w:r>
            <w:r>
              <w:t>1</w:t>
            </w:r>
            <w:r w:rsidR="004812A1">
              <w:t>10.</w:t>
            </w:r>
            <w:r>
              <w:t>51</w:t>
            </w:r>
          </w:p>
        </w:tc>
        <w:tc>
          <w:tcPr>
            <w:tcW w:w="1985" w:type="dxa"/>
          </w:tcPr>
          <w:p w:rsidR="007C6E23" w:rsidRPr="003A21A8" w:rsidRDefault="004812A1" w:rsidP="0053758B">
            <w:pPr>
              <w:pStyle w:val="Sinespaciado"/>
              <w:jc w:val="right"/>
            </w:pPr>
            <w:r>
              <w:t>2</w:t>
            </w:r>
            <w:r w:rsidR="0053758B">
              <w:t>5</w:t>
            </w:r>
            <w:r w:rsidR="00B91803">
              <w:t>,</w:t>
            </w:r>
            <w:r w:rsidR="0053758B">
              <w:t>501</w:t>
            </w:r>
            <w:r w:rsidR="00B91803">
              <w:t>,</w:t>
            </w:r>
            <w:r w:rsidR="00245F65">
              <w:t>5</w:t>
            </w:r>
            <w:r w:rsidR="0053758B">
              <w:t>96</w:t>
            </w:r>
            <w:r w:rsidR="00B91803">
              <w:t>.</w:t>
            </w:r>
            <w:r w:rsidR="0053758B">
              <w:t>3</w:t>
            </w:r>
            <w:r w:rsidR="00245F65">
              <w:t>6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Comprometido</w:t>
            </w:r>
          </w:p>
        </w:tc>
        <w:tc>
          <w:tcPr>
            <w:tcW w:w="2126" w:type="dxa"/>
          </w:tcPr>
          <w:p w:rsidR="007C6E23" w:rsidRPr="003A21A8" w:rsidRDefault="0053758B" w:rsidP="003A21A8">
            <w:pPr>
              <w:pStyle w:val="Sinespaciado"/>
              <w:jc w:val="right"/>
            </w:pPr>
            <w:r>
              <w:t>47,637,786.28</w:t>
            </w:r>
          </w:p>
        </w:tc>
        <w:tc>
          <w:tcPr>
            <w:tcW w:w="1985" w:type="dxa"/>
          </w:tcPr>
          <w:p w:rsidR="007C6E23" w:rsidRPr="003A21A8" w:rsidRDefault="0053758B" w:rsidP="0053758B">
            <w:pPr>
              <w:pStyle w:val="Sinespaciado"/>
              <w:jc w:val="right"/>
            </w:pPr>
            <w:r>
              <w:t>47</w:t>
            </w:r>
            <w:r w:rsidR="004C387F">
              <w:t>,</w:t>
            </w:r>
            <w:r>
              <w:t>637</w:t>
            </w:r>
            <w:r w:rsidR="004C387F">
              <w:t>,</w:t>
            </w:r>
            <w:r>
              <w:t>786</w:t>
            </w:r>
            <w:r w:rsidR="004C387F">
              <w:t>.</w:t>
            </w:r>
            <w:r>
              <w:t>28</w:t>
            </w:r>
          </w:p>
        </w:tc>
      </w:tr>
      <w:tr w:rsidR="0053758B" w:rsidTr="003A21A8">
        <w:tc>
          <w:tcPr>
            <w:tcW w:w="4928" w:type="dxa"/>
          </w:tcPr>
          <w:p w:rsidR="0053758B" w:rsidRDefault="0053758B">
            <w:r>
              <w:t>Presupuesto de Egresos Devengado</w:t>
            </w:r>
          </w:p>
        </w:tc>
        <w:tc>
          <w:tcPr>
            <w:tcW w:w="2126" w:type="dxa"/>
          </w:tcPr>
          <w:p w:rsidR="0053758B" w:rsidRPr="004D3F9D" w:rsidRDefault="0053758B" w:rsidP="0053758B">
            <w:pPr>
              <w:jc w:val="right"/>
            </w:pPr>
            <w:r w:rsidRPr="004D3F9D">
              <w:t>47,637,786.28</w:t>
            </w:r>
          </w:p>
        </w:tc>
        <w:tc>
          <w:tcPr>
            <w:tcW w:w="1985" w:type="dxa"/>
          </w:tcPr>
          <w:p w:rsidR="0053758B" w:rsidRDefault="0053758B" w:rsidP="0053758B">
            <w:pPr>
              <w:jc w:val="right"/>
            </w:pPr>
            <w:r w:rsidRPr="004D3F9D">
              <w:t>47,637,786.28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Ejercido</w:t>
            </w:r>
          </w:p>
        </w:tc>
        <w:tc>
          <w:tcPr>
            <w:tcW w:w="2126" w:type="dxa"/>
          </w:tcPr>
          <w:p w:rsidR="007C6E23" w:rsidRPr="003A21A8" w:rsidRDefault="0053758B" w:rsidP="004812A1">
            <w:pPr>
              <w:pStyle w:val="Sinespaciado"/>
              <w:jc w:val="right"/>
            </w:pPr>
            <w:r w:rsidRPr="0053758B">
              <w:t>47,637,786.28</w:t>
            </w:r>
          </w:p>
        </w:tc>
        <w:tc>
          <w:tcPr>
            <w:tcW w:w="1985" w:type="dxa"/>
          </w:tcPr>
          <w:p w:rsidR="007C6E23" w:rsidRPr="003A21A8" w:rsidRDefault="0053758B" w:rsidP="0053758B">
            <w:pPr>
              <w:pStyle w:val="Sinespaciado"/>
              <w:jc w:val="right"/>
            </w:pPr>
            <w:r>
              <w:t>45</w:t>
            </w:r>
            <w:r w:rsidR="004C387F">
              <w:t>,</w:t>
            </w:r>
            <w:r>
              <w:t>647</w:t>
            </w:r>
            <w:r w:rsidR="004C387F">
              <w:t>,</w:t>
            </w:r>
            <w:r>
              <w:t>224</w:t>
            </w:r>
            <w:r w:rsidR="004C387F">
              <w:t>.</w:t>
            </w:r>
            <w:r w:rsidR="004812A1">
              <w:t>9</w:t>
            </w:r>
            <w:r>
              <w:t>8</w:t>
            </w:r>
          </w:p>
        </w:tc>
      </w:tr>
      <w:tr w:rsidR="007C6E23" w:rsidTr="003A21A8">
        <w:tc>
          <w:tcPr>
            <w:tcW w:w="4928" w:type="dxa"/>
          </w:tcPr>
          <w:p w:rsidR="007C6E23" w:rsidRDefault="007C6E23">
            <w:r>
              <w:t>Presupuesto de Egresos Pagado</w:t>
            </w:r>
          </w:p>
        </w:tc>
        <w:tc>
          <w:tcPr>
            <w:tcW w:w="2126" w:type="dxa"/>
          </w:tcPr>
          <w:p w:rsidR="007C6E23" w:rsidRPr="003A21A8" w:rsidRDefault="0053758B" w:rsidP="004812A1">
            <w:pPr>
              <w:pStyle w:val="Sinespaciado"/>
              <w:jc w:val="right"/>
            </w:pPr>
            <w:r w:rsidRPr="0053758B">
              <w:t>45,647,224.98</w:t>
            </w:r>
          </w:p>
        </w:tc>
        <w:tc>
          <w:tcPr>
            <w:tcW w:w="1985" w:type="dxa"/>
          </w:tcPr>
          <w:p w:rsidR="007C6E23" w:rsidRPr="003A21A8" w:rsidRDefault="007C6E23" w:rsidP="003A21A8">
            <w:pPr>
              <w:pStyle w:val="Sinespaciado"/>
              <w:jc w:val="right"/>
            </w:pPr>
          </w:p>
        </w:tc>
      </w:tr>
    </w:tbl>
    <w:p w:rsidR="00843313" w:rsidRDefault="00843313" w:rsidP="00843313">
      <w:pPr>
        <w:pStyle w:val="Sinespaciado"/>
        <w:jc w:val="center"/>
        <w:rPr>
          <w:b/>
        </w:rPr>
      </w:pPr>
    </w:p>
    <w:p w:rsidR="007C6E23" w:rsidRDefault="007C6E23" w:rsidP="00843313">
      <w:pPr>
        <w:pStyle w:val="Sinespaciado"/>
        <w:jc w:val="center"/>
        <w:rPr>
          <w:b/>
        </w:rPr>
      </w:pPr>
    </w:p>
    <w:p w:rsidR="007C6E23" w:rsidRDefault="007C6E23" w:rsidP="007C6E23">
      <w:pPr>
        <w:pStyle w:val="Sinespaciado"/>
        <w:rPr>
          <w:b/>
          <w:u w:val="single"/>
        </w:rPr>
      </w:pPr>
      <w:r w:rsidRPr="007C6E23">
        <w:rPr>
          <w:b/>
          <w:u w:val="single"/>
        </w:rPr>
        <w:t>Ley de Ingresos</w:t>
      </w:r>
    </w:p>
    <w:p w:rsidR="007C6E23" w:rsidRDefault="007C6E23" w:rsidP="007C6E23">
      <w:pPr>
        <w:pStyle w:val="Sinespaciado"/>
        <w:rPr>
          <w:b/>
          <w:u w:val="single"/>
        </w:rPr>
      </w:pPr>
    </w:p>
    <w:p w:rsidR="007C6E23" w:rsidRDefault="007C6E23" w:rsidP="00153B00">
      <w:pPr>
        <w:pStyle w:val="Sinespaciado"/>
        <w:jc w:val="both"/>
      </w:pPr>
      <w:r>
        <w:t>Instrumento aprobado por el órgano de control y tiene por finalidad registrar los ingresos públicos de acuerdo a su función o actividad que desarrolla el municipio.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</w:pPr>
      <w:r>
        <w:t>Para los estados Financieros Presupuestales del ingreso se toman las cantidades anuales en el momento contable del estimado.</w:t>
      </w:r>
    </w:p>
    <w:p w:rsidR="000D72DE" w:rsidRDefault="000D72DE" w:rsidP="00153B00">
      <w:pPr>
        <w:pStyle w:val="Sinespaciado"/>
        <w:jc w:val="both"/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153B00">
      <w:pPr>
        <w:pStyle w:val="Sinespaciado"/>
        <w:jc w:val="both"/>
        <w:rPr>
          <w:b/>
          <w:u w:val="single"/>
        </w:rPr>
      </w:pPr>
    </w:p>
    <w:p w:rsidR="000D72DE" w:rsidRDefault="000D72DE" w:rsidP="007C6E23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>Ley de Ingresos Estimada</w:t>
      </w:r>
    </w:p>
    <w:p w:rsidR="000D72DE" w:rsidRDefault="000D72DE" w:rsidP="007C6E23">
      <w:pPr>
        <w:pStyle w:val="Sinespaciado"/>
        <w:rPr>
          <w:b/>
          <w:u w:val="single"/>
        </w:rPr>
      </w:pPr>
    </w:p>
    <w:p w:rsidR="000D72DE" w:rsidRDefault="000D72DE" w:rsidP="00153B00">
      <w:pPr>
        <w:pStyle w:val="Sinespaciado"/>
        <w:jc w:val="both"/>
      </w:pPr>
      <w:r w:rsidRPr="000D72DE">
        <w:t>Re</w:t>
      </w:r>
      <w:r>
        <w:t xml:space="preserve">presenta el importe que se aprueba anualmente en la Ley de Ingresos, e incluye los impuestos, cuotas y aportaciones de seguridad social; contribuciones de mejoras, derechos, productos, aprovechamientos, financiamientos internos y externos: </w:t>
      </w:r>
      <w:r w:rsidR="00153B00">
        <w:t>así</w:t>
      </w:r>
      <w:r>
        <w:t xml:space="preserve"> como eventualmente</w:t>
      </w:r>
      <w:r w:rsidR="00153B00">
        <w:t xml:space="preserve"> la venta de bienes y servicios, además de participaciones, aportaciones, recursos convenidos y otros ingresos.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 xml:space="preserve">por </w:t>
      </w:r>
      <w:r w:rsidRPr="000D72DE">
        <w:rPr>
          <w:b/>
          <w:u w:val="single"/>
        </w:rPr>
        <w:t>E</w:t>
      </w:r>
      <w:r>
        <w:rPr>
          <w:b/>
          <w:u w:val="single"/>
        </w:rPr>
        <w:t>jecutar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153B00" w:rsidRDefault="00153B00" w:rsidP="00153B00">
      <w:pPr>
        <w:pStyle w:val="Sinespaciado"/>
        <w:jc w:val="both"/>
      </w:pPr>
      <w:r w:rsidRPr="000D72DE">
        <w:t>Re</w:t>
      </w:r>
      <w:r>
        <w:t xml:space="preserve">presenta la Ley de Ingresos Estimada que incluye las modificaciones a esta, </w:t>
      </w:r>
      <w:r w:rsidR="007C1EA6">
        <w:t>así</w:t>
      </w:r>
      <w:r>
        <w:t xml:space="preserve"> como el registro de los ingresos devengados.</w:t>
      </w:r>
    </w:p>
    <w:p w:rsidR="00153B00" w:rsidRDefault="00153B00" w:rsidP="00153B00">
      <w:pPr>
        <w:pStyle w:val="Sinespaciado"/>
        <w:jc w:val="both"/>
      </w:pPr>
    </w:p>
    <w:p w:rsidR="00153B00" w:rsidRDefault="00153B00" w:rsidP="00153B00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Modificaciones a la </w:t>
      </w: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Estimada</w:t>
      </w:r>
    </w:p>
    <w:p w:rsidR="00153B00" w:rsidRDefault="00153B00" w:rsidP="00153B00">
      <w:pPr>
        <w:pStyle w:val="Sinespaciado"/>
        <w:rPr>
          <w:b/>
          <w:u w:val="single"/>
        </w:rPr>
      </w:pPr>
    </w:p>
    <w:p w:rsidR="007C1EA6" w:rsidRDefault="00153B00" w:rsidP="00153B00">
      <w:pPr>
        <w:pStyle w:val="Sinespaciado"/>
        <w:jc w:val="both"/>
      </w:pPr>
      <w:r w:rsidRPr="000D72DE">
        <w:t>Re</w:t>
      </w:r>
      <w:r>
        <w:t xml:space="preserve">presenta </w:t>
      </w:r>
      <w:r w:rsidR="007C1EA6">
        <w:t xml:space="preserve">el importe de los incrementos y decrementos a la ley de </w:t>
      </w:r>
      <w:r>
        <w:t>Ingresos Estimada</w:t>
      </w:r>
      <w:r w:rsidR="007C1EA6">
        <w:t>, derivada de las ampliaciones y reducciones autorizadas, (adecuaciones presupuestales).</w:t>
      </w:r>
    </w:p>
    <w:p w:rsidR="007C1EA6" w:rsidRDefault="007C1EA6" w:rsidP="00153B00">
      <w:pPr>
        <w:pStyle w:val="Sinespaciado"/>
        <w:jc w:val="both"/>
      </w:pPr>
    </w:p>
    <w:p w:rsidR="007C1EA6" w:rsidRDefault="007C1EA6" w:rsidP="007C1EA6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Devengada</w:t>
      </w:r>
    </w:p>
    <w:p w:rsidR="007C1EA6" w:rsidRDefault="007C1EA6" w:rsidP="007C1EA6">
      <w:pPr>
        <w:pStyle w:val="Sinespaciado"/>
        <w:rPr>
          <w:b/>
          <w:u w:val="single"/>
        </w:rPr>
      </w:pPr>
    </w:p>
    <w:p w:rsidR="00215057" w:rsidRDefault="007C1EA6" w:rsidP="007C1EA6">
      <w:pPr>
        <w:pStyle w:val="Sinespaciado"/>
        <w:jc w:val="both"/>
      </w:pPr>
      <w:r w:rsidRPr="000D72DE">
        <w:t>Re</w:t>
      </w:r>
      <w:r>
        <w:t>presenta los derechos de cobro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  <w:r w:rsidR="00215057">
        <w:t xml:space="preserve"> En el caso de resoluciones, laudos en firme (definitivas) y pago en parcialidades se deberán reconocer y registrar cuando ocurre la notificación de la resolución y/o en la firma del convenio respectivo. Su saldo representa la Ley de Ingresos Devengada pendiente de recaudar.</w:t>
      </w:r>
    </w:p>
    <w:p w:rsidR="00215057" w:rsidRDefault="00215057" w:rsidP="007C1EA6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 w:rsidRPr="000D72DE">
        <w:rPr>
          <w:b/>
          <w:u w:val="single"/>
        </w:rPr>
        <w:t xml:space="preserve">Ley de Ingresos </w:t>
      </w:r>
      <w:r>
        <w:rPr>
          <w:b/>
          <w:u w:val="single"/>
        </w:rPr>
        <w:t>Recaudada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 w:rsidRPr="000D72DE">
        <w:t>Re</w:t>
      </w:r>
      <w:r>
        <w:t>presenta el cobro en efectivo o por cualquier otro medio de pago de los impuestos, cuotas y aportaciones de seguridad social; contribuciones de mejoras, derechos, productos, aprovechamientos, financiamientos internos y externos: así como la venta de bienes y servicios, además de participaciones, aportaciones, recursos convenidos y otros ingresos del municipio.</w:t>
      </w:r>
    </w:p>
    <w:p w:rsidR="00215057" w:rsidRDefault="00215057" w:rsidP="00215057">
      <w:pPr>
        <w:pStyle w:val="Sinespaciado"/>
        <w:jc w:val="both"/>
      </w:pPr>
    </w:p>
    <w:p w:rsidR="00215057" w:rsidRDefault="00215057" w:rsidP="00215057">
      <w:pPr>
        <w:pStyle w:val="Sinespaciado"/>
        <w:rPr>
          <w:b/>
          <w:u w:val="single"/>
        </w:rPr>
      </w:pPr>
      <w:r>
        <w:rPr>
          <w:b/>
          <w:u w:val="single"/>
        </w:rPr>
        <w:t>Presupuesto de Egresos</w:t>
      </w:r>
    </w:p>
    <w:p w:rsidR="00215057" w:rsidRDefault="00215057" w:rsidP="00215057">
      <w:pPr>
        <w:pStyle w:val="Sinespaciado"/>
        <w:rPr>
          <w:b/>
          <w:u w:val="single"/>
        </w:rPr>
      </w:pPr>
    </w:p>
    <w:p w:rsidR="007C1EA6" w:rsidRDefault="00215057" w:rsidP="00215057">
      <w:pPr>
        <w:pStyle w:val="Sinespaciado"/>
        <w:jc w:val="both"/>
      </w:pPr>
      <w:r>
        <w:t>Tiene por finalidad registrar, a partir del Presupuesto de Egresos del periodo</w:t>
      </w:r>
      <w:r w:rsidR="00731C54">
        <w:t xml:space="preserve"> y mediante los rubros que lo componen, las operaciones presupuestarias del periodo. 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215057">
      <w:pPr>
        <w:pStyle w:val="Sinespaciado"/>
        <w:jc w:val="both"/>
      </w:pPr>
      <w:r>
        <w:t>Para los Estados Financieros Presupuestales del Egreso se tomaron las cantidades anuales en el momento del aprobado.</w:t>
      </w:r>
    </w:p>
    <w:p w:rsidR="00731C54" w:rsidRDefault="00731C54" w:rsidP="00215057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Aprobado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153B00" w:rsidRDefault="00731C54" w:rsidP="00731C54">
      <w:pPr>
        <w:pStyle w:val="Sinespaciado"/>
        <w:jc w:val="both"/>
      </w:pPr>
      <w:r>
        <w:t xml:space="preserve">Es el que refleja las asignaciones presupuestarias anuales comprometidas en el Presupuesto de Egresos.  </w:t>
      </w:r>
    </w:p>
    <w:p w:rsidR="00731C54" w:rsidRPr="000D72DE" w:rsidRDefault="00731C54" w:rsidP="00731C54">
      <w:pPr>
        <w:pStyle w:val="Sinespaciado"/>
        <w:jc w:val="both"/>
      </w:pPr>
    </w:p>
    <w:p w:rsidR="007C6E23" w:rsidRDefault="007C6E23" w:rsidP="007C6E23">
      <w:pPr>
        <w:pStyle w:val="Sinespaciado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Modificado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Refleja la asignación presupuestaria que resulta de incorporar las adecuaciones presupuestarias del presupuesto aprobado.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Comprometido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731C54" w:rsidRDefault="00731C54" w:rsidP="00731C54">
      <w:pPr>
        <w:pStyle w:val="Sinespaciado"/>
        <w:jc w:val="both"/>
      </w:pPr>
      <w:r>
        <w:t xml:space="preserve">Corresponde al momento contable que refleja la aprobación, por la autoridad competente de un acto administrativo u otro instrumento jurídico que formaliza la adquisición de bienes o servicios o ejecución de obras con cargo al presupuesto aprobado.  </w:t>
      </w:r>
    </w:p>
    <w:p w:rsidR="00731C54" w:rsidRDefault="00731C54" w:rsidP="00731C54">
      <w:pPr>
        <w:pStyle w:val="Sinespaciado"/>
        <w:jc w:val="both"/>
      </w:pPr>
    </w:p>
    <w:p w:rsidR="00731C54" w:rsidRDefault="00731C54" w:rsidP="00731C54">
      <w:pPr>
        <w:pStyle w:val="Sinespaciado"/>
        <w:rPr>
          <w:b/>
          <w:u w:val="single"/>
        </w:rPr>
      </w:pPr>
      <w:r>
        <w:rPr>
          <w:b/>
          <w:u w:val="single"/>
        </w:rPr>
        <w:t>Egreso Devengado</w:t>
      </w:r>
    </w:p>
    <w:p w:rsidR="00731C54" w:rsidRDefault="00731C54" w:rsidP="00731C54">
      <w:pPr>
        <w:pStyle w:val="Sinespaciado"/>
        <w:rPr>
          <w:b/>
          <w:u w:val="single"/>
        </w:rPr>
      </w:pPr>
    </w:p>
    <w:p w:rsidR="003A27DC" w:rsidRDefault="00731C54" w:rsidP="003A27DC">
      <w:pPr>
        <w:pStyle w:val="Sinespaciado"/>
        <w:jc w:val="both"/>
      </w:pPr>
      <w:r>
        <w:t xml:space="preserve">Corresponde al reconocimiento pleno de una obligación a favor de terceros por la recepción de conformidad de bienes o servicios o ejecución de obras </w:t>
      </w:r>
      <w:r w:rsidR="003A27DC">
        <w:t>oportunamente contratados.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 xml:space="preserve">Egreso Ejercido 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Nos indica la emisión de una cuanta por liquidar certificada o documento equivalente debidamente aprobado por la autoridad competente.  </w:t>
      </w:r>
    </w:p>
    <w:p w:rsidR="003A27DC" w:rsidRDefault="003A27DC" w:rsidP="003A27DC">
      <w:pPr>
        <w:pStyle w:val="Sinespaciado"/>
        <w:jc w:val="both"/>
      </w:pPr>
    </w:p>
    <w:p w:rsidR="003A27DC" w:rsidRDefault="003A27DC" w:rsidP="003A27DC">
      <w:pPr>
        <w:pStyle w:val="Sinespaciado"/>
        <w:rPr>
          <w:b/>
          <w:u w:val="single"/>
        </w:rPr>
      </w:pPr>
      <w:r>
        <w:rPr>
          <w:b/>
          <w:u w:val="single"/>
        </w:rPr>
        <w:t>Egreso Pagado</w:t>
      </w:r>
    </w:p>
    <w:p w:rsidR="003A27DC" w:rsidRDefault="003A27DC" w:rsidP="003A27DC">
      <w:pPr>
        <w:pStyle w:val="Sinespaciado"/>
        <w:rPr>
          <w:b/>
          <w:u w:val="single"/>
        </w:rPr>
      </w:pPr>
    </w:p>
    <w:p w:rsidR="003A27DC" w:rsidRDefault="003A27DC" w:rsidP="003A27DC">
      <w:pPr>
        <w:pStyle w:val="Sinespaciado"/>
        <w:jc w:val="both"/>
      </w:pPr>
      <w:r>
        <w:t xml:space="preserve">Refleja el desembolso de efectivo o cualquier otro medio de pago,  por la liquidación de los bienes o servicios o ejecución de obras contratadas por el ente público.  </w:t>
      </w:r>
    </w:p>
    <w:p w:rsidR="007C6E23" w:rsidRDefault="007C6E23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Default="00AA3B37" w:rsidP="003A27DC">
      <w:pPr>
        <w:pStyle w:val="Sinespaciado"/>
        <w:jc w:val="both"/>
      </w:pPr>
    </w:p>
    <w:p w:rsidR="00AA3B37" w:rsidRPr="00843313" w:rsidRDefault="00AA3B37" w:rsidP="00AA3B37">
      <w:pPr>
        <w:rPr>
          <w:b/>
          <w:sz w:val="28"/>
          <w:szCs w:val="28"/>
        </w:rPr>
      </w:pPr>
      <w:r w:rsidRPr="00843313">
        <w:rPr>
          <w:b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10" cy="164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3313">
        <w:rPr>
          <w:b/>
          <w:sz w:val="28"/>
          <w:szCs w:val="28"/>
        </w:rPr>
        <w:t>PRESIDENCIA MUNICIPAL DE ZARAGOZA</w:t>
      </w:r>
      <w:r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 xml:space="preserve">II.-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6C4DC3">
      <w:pPr>
        <w:pStyle w:val="Sinespaciado"/>
        <w:jc w:val="both"/>
      </w:pPr>
      <w:r w:rsidRPr="00EA2E60">
        <w:t>El Municipio de Zaragoza Coahuila</w:t>
      </w:r>
      <w:r>
        <w:t>, por decreto del 7 de Agosto de 1827</w:t>
      </w:r>
      <w:r w:rsidR="006C4DC3">
        <w:t>,</w:t>
      </w:r>
      <w:r>
        <w:t xml:space="preserve"> creo la villa de San Fernando de Rosas,  hasta que el 27 de Febrero de 1868 se le </w:t>
      </w:r>
      <w:r w:rsidR="006C4DC3">
        <w:t>concedió</w:t>
      </w:r>
      <w:r w:rsidR="00734477">
        <w:t xml:space="preserve"> </w:t>
      </w:r>
      <w:r w:rsidR="006C4DC3">
        <w:t>título</w:t>
      </w:r>
      <w:r>
        <w:t xml:space="preserve"> de </w:t>
      </w:r>
      <w:r w:rsidR="006C4DC3">
        <w:t>ciudad</w:t>
      </w:r>
      <w:r>
        <w:t>, bajo el nombre de Zaragoza Coahuila</w:t>
      </w:r>
      <w:r w:rsidR="006C4DC3">
        <w:t>, el municipio está constituido como un ente público autónomo regido por un ayuntamiento y</w:t>
      </w:r>
      <w:r w:rsidR="006C4DC3" w:rsidRPr="006C4DC3">
        <w:t>es formado por el Presidente Municipal, el Síndico</w:t>
      </w:r>
      <w:r w:rsidR="006C4DC3">
        <w:t xml:space="preserve"> 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6C4DC3">
        <w:t>siete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C3754D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C3754D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C3754D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C3754D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C3754D">
      <w:pPr>
        <w:pStyle w:val="Sinespaciado"/>
        <w:jc w:val="both"/>
      </w:pPr>
      <w:r w:rsidRPr="00C3754D"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C3754D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C3754D">
      <w:pPr>
        <w:pStyle w:val="Sinespaciado"/>
        <w:jc w:val="both"/>
      </w:pPr>
      <w:r w:rsidRPr="00C3754D">
        <w:lastRenderedPageBreak/>
        <w:t>h)       La cooperación para la conservación de los monumentos históricos, de las obras de arte y demás bienes culturales;</w:t>
      </w:r>
    </w:p>
    <w:p w:rsidR="00F37CB5" w:rsidRPr="00C3754D" w:rsidRDefault="00F37CB5" w:rsidP="00C3754D">
      <w:pPr>
        <w:pStyle w:val="Sinespaciado"/>
        <w:jc w:val="both"/>
      </w:pPr>
      <w:r w:rsidRPr="00C3754D"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C3754D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C3754D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C3754D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C3754D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C3754D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C3754D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C3754D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C3754D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C3754D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C3754D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F37CB5">
      <w:pPr>
        <w:pStyle w:val="Sinespaciado"/>
        <w:jc w:val="both"/>
      </w:pPr>
    </w:p>
    <w:p w:rsidR="00514501" w:rsidRDefault="00F37CB5" w:rsidP="006C4DC3">
      <w:pPr>
        <w:pStyle w:val="Sinespaciado"/>
        <w:jc w:val="both"/>
      </w:pPr>
      <w:r>
        <w:t>La estructura organizacional del municipio,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lastRenderedPageBreak/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El Municipio de Zaragoza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lastRenderedPageBreak/>
        <w:t>El Municipio de Zaragoza Coahuila, dentro de sus políticas de control interno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,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a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 2015, su monto es variado de acuerdo al cálculo mensual realmente pagado por servicios personales.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Municipio de Zaragoza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mpuesto Sobre la Renta de acuerdo a lo establecido en el Titulo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Zaragoza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Sistema de Contabilidad Gubernamental utilizado por El Municipio de Zaragoza Coahuila, es el "Sistema Integral de Información Financiera", que cumple con las características de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5692C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Genera en tiempo real, estados financieros, de ejecución presupuestaria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F70238" w:rsidRPr="00F70238" w:rsidRDefault="00F70238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existen partes relacionadas que pudieran ejercer influencia significativa para la torna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Pr="00F70238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"Bajo protesta de decir verdad, declaramos que los Estados Financieros y sus notas son </w:t>
      </w:r>
      <w:r w:rsidRPr="00F70238">
        <w:rPr>
          <w:rFonts w:asciiTheme="minorHAnsi" w:hAnsiTheme="minorHAnsi" w:cstheme="minorHAnsi"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-22860</wp:posOffset>
                </wp:positionV>
                <wp:extent cx="2514600" cy="9525"/>
                <wp:effectExtent l="0" t="0" r="19050" b="28575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A599F" id="8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LEONCIO MARTINEZ SANCHEZ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PRESIDENTE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2514600" cy="9525"/>
                <wp:effectExtent l="0" t="0" r="19050" b="28575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252E2" id="9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MARIA ANTONIETA GALINDO GOMEZ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100330</wp:posOffset>
                </wp:positionV>
                <wp:extent cx="2514600" cy="8890"/>
                <wp:effectExtent l="0" t="0" r="19050" b="2921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A0C0B" id="10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ING. NORBERTO CESAR SALAZAR VALDES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2514600" cy="8890"/>
                <wp:effectExtent l="0" t="0" r="19050" b="2921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96CEE" id="11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ISMAEL SALINAS DE LUNA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2514600" cy="8890"/>
                <wp:effectExtent l="0" t="0" r="19050" b="29210"/>
                <wp:wrapNone/>
                <wp:docPr id="1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27168" id="12 Conector recto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PROFR. ALFONSO ORTIZ AGUILLON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734477" w:rsidRDefault="00734477" w:rsidP="00734477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2514600" cy="8890"/>
                <wp:effectExtent l="0" t="0" r="19050" b="29210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7DDF5" id="12 Conector recto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6.3pt" to="198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_______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LIC. BRENDA SANCHEZ PEREZ</w:t>
      </w:r>
    </w:p>
    <w:p w:rsidR="00F70238" w:rsidRPr="00175FC5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D6E" w:rsidRDefault="00452D6E" w:rsidP="00AA3B37">
      <w:pPr>
        <w:spacing w:after="0" w:line="240" w:lineRule="auto"/>
      </w:pPr>
      <w:r>
        <w:separator/>
      </w:r>
    </w:p>
  </w:endnote>
  <w:endnote w:type="continuationSeparator" w:id="0">
    <w:p w:rsidR="00452D6E" w:rsidRDefault="00452D6E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D6E" w:rsidRDefault="00452D6E" w:rsidP="00AA3B37">
      <w:pPr>
        <w:spacing w:after="0" w:line="240" w:lineRule="auto"/>
      </w:pPr>
      <w:r>
        <w:separator/>
      </w:r>
    </w:p>
  </w:footnote>
  <w:footnote w:type="continuationSeparator" w:id="0">
    <w:p w:rsidR="00452D6E" w:rsidRDefault="00452D6E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12"/>
    <w:rsid w:val="000D72DE"/>
    <w:rsid w:val="00136B3A"/>
    <w:rsid w:val="001433E5"/>
    <w:rsid w:val="00153B00"/>
    <w:rsid w:val="001654F5"/>
    <w:rsid w:val="00175FC5"/>
    <w:rsid w:val="00215057"/>
    <w:rsid w:val="00245F65"/>
    <w:rsid w:val="00272CC3"/>
    <w:rsid w:val="002A359B"/>
    <w:rsid w:val="003541A7"/>
    <w:rsid w:val="00361F93"/>
    <w:rsid w:val="003A21A8"/>
    <w:rsid w:val="003A27DC"/>
    <w:rsid w:val="00452D6E"/>
    <w:rsid w:val="00475B47"/>
    <w:rsid w:val="004812A1"/>
    <w:rsid w:val="004B3F12"/>
    <w:rsid w:val="004C387F"/>
    <w:rsid w:val="00514501"/>
    <w:rsid w:val="0053758B"/>
    <w:rsid w:val="0059293E"/>
    <w:rsid w:val="005E760E"/>
    <w:rsid w:val="006C4DC3"/>
    <w:rsid w:val="0073143A"/>
    <w:rsid w:val="00731C54"/>
    <w:rsid w:val="00734477"/>
    <w:rsid w:val="00797616"/>
    <w:rsid w:val="007C1EA6"/>
    <w:rsid w:val="007C6E23"/>
    <w:rsid w:val="00843313"/>
    <w:rsid w:val="008938CB"/>
    <w:rsid w:val="00896031"/>
    <w:rsid w:val="008D42D0"/>
    <w:rsid w:val="008E3153"/>
    <w:rsid w:val="009916A0"/>
    <w:rsid w:val="009B357B"/>
    <w:rsid w:val="00A20309"/>
    <w:rsid w:val="00A5692C"/>
    <w:rsid w:val="00A63217"/>
    <w:rsid w:val="00AA3B37"/>
    <w:rsid w:val="00B17FB8"/>
    <w:rsid w:val="00B91803"/>
    <w:rsid w:val="00BF001D"/>
    <w:rsid w:val="00C05FA6"/>
    <w:rsid w:val="00C3754D"/>
    <w:rsid w:val="00D46D64"/>
    <w:rsid w:val="00EA2E60"/>
    <w:rsid w:val="00F06593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711814-FBF5-480A-88DC-4E2EF725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2233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Yaneth Aguilar Veliz</cp:lastModifiedBy>
  <cp:revision>3</cp:revision>
  <cp:lastPrinted>2015-09-09T01:32:00Z</cp:lastPrinted>
  <dcterms:created xsi:type="dcterms:W3CDTF">2016-12-06T17:30:00Z</dcterms:created>
  <dcterms:modified xsi:type="dcterms:W3CDTF">2016-12-06T17:30:00Z</dcterms:modified>
</cp:coreProperties>
</file>