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899" w:rsidRPr="004F4558" w:rsidRDefault="00172899" w:rsidP="00172899">
      <w:pPr>
        <w:pStyle w:val="Texto"/>
        <w:spacing w:after="80" w:line="203" w:lineRule="exact"/>
        <w:jc w:val="center"/>
        <w:rPr>
          <w:sz w:val="22"/>
          <w:szCs w:val="22"/>
        </w:rPr>
      </w:pPr>
      <w:r w:rsidRPr="004F4558">
        <w:rPr>
          <w:b/>
          <w:sz w:val="22"/>
          <w:szCs w:val="22"/>
        </w:rPr>
        <w:t>a) NOTAS DE DESGLOSE</w:t>
      </w:r>
    </w:p>
    <w:p w:rsidR="00172899" w:rsidRPr="004F4558" w:rsidRDefault="00172899" w:rsidP="00172899">
      <w:pPr>
        <w:pStyle w:val="Texto"/>
        <w:spacing w:after="80" w:line="203" w:lineRule="exact"/>
        <w:jc w:val="center"/>
        <w:rPr>
          <w:smallCaps/>
          <w:sz w:val="22"/>
          <w:szCs w:val="22"/>
        </w:rPr>
      </w:pPr>
    </w:p>
    <w:p w:rsidR="00172899" w:rsidRPr="004F4558" w:rsidRDefault="00172899" w:rsidP="00172899">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172899" w:rsidRPr="004F4558" w:rsidRDefault="00172899" w:rsidP="00172899">
      <w:pPr>
        <w:pStyle w:val="Texto"/>
        <w:spacing w:after="80" w:line="203" w:lineRule="exact"/>
        <w:rPr>
          <w:sz w:val="22"/>
          <w:szCs w:val="22"/>
          <w:lang w:val="es-MX"/>
        </w:rPr>
      </w:pPr>
    </w:p>
    <w:p w:rsidR="00172899" w:rsidRPr="004F4558" w:rsidRDefault="00172899" w:rsidP="00172899">
      <w:pPr>
        <w:pStyle w:val="Texto"/>
        <w:spacing w:after="80" w:line="203" w:lineRule="exact"/>
        <w:rPr>
          <w:b/>
          <w:sz w:val="22"/>
          <w:szCs w:val="22"/>
          <w:lang w:val="es-MX"/>
        </w:rPr>
      </w:pPr>
      <w:r w:rsidRPr="004F4558">
        <w:rPr>
          <w:b/>
          <w:sz w:val="22"/>
          <w:szCs w:val="22"/>
          <w:lang w:val="es-MX"/>
        </w:rPr>
        <w:t>Activo</w:t>
      </w:r>
    </w:p>
    <w:p w:rsidR="00172899" w:rsidRPr="004F4558" w:rsidRDefault="00172899" w:rsidP="00172899">
      <w:pPr>
        <w:pStyle w:val="Texto"/>
        <w:spacing w:after="80" w:line="203" w:lineRule="exact"/>
        <w:rPr>
          <w:b/>
          <w:sz w:val="22"/>
          <w:szCs w:val="22"/>
          <w:lang w:val="es-MX"/>
        </w:rPr>
      </w:pPr>
      <w:r w:rsidRPr="004F4558">
        <w:rPr>
          <w:b/>
          <w:sz w:val="22"/>
          <w:szCs w:val="22"/>
          <w:lang w:val="es-MX"/>
        </w:rPr>
        <w:t>Efectivo y Equivalentes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Se informará acerca de los fondos con afectación específica, el tipo y monto de los mismos; de las inversiones financieras se revelará su tipo y monto, su clasificación en corto y largo plazo separando aquéllas que su vencimiento sea menor a 3 meses.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02.- </w:t>
      </w:r>
      <w:r w:rsidRPr="004F4558">
        <w:rPr>
          <w:sz w:val="22"/>
          <w:szCs w:val="22"/>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03.- </w:t>
      </w:r>
      <w:r w:rsidRPr="004F4558">
        <w:rPr>
          <w:sz w:val="22"/>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04.- </w:t>
      </w:r>
      <w:r w:rsidRPr="004F4558">
        <w:rPr>
          <w:sz w:val="22"/>
          <w:szCs w:val="22"/>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Inversiones Financieras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06.- </w:t>
      </w:r>
      <w:r w:rsidRPr="004F4558">
        <w:rPr>
          <w:sz w:val="22"/>
          <w:szCs w:val="22"/>
          <w:lang w:val="es-MX"/>
        </w:rPr>
        <w:t>De la cuenta Inversiones financieras, que considera los fideicomisos, se informará de éstos los recursos asignados por tipo y monto, y características significativas que tengan o puedan tener alguna incidencia en las mismas.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07.- </w:t>
      </w:r>
      <w:r w:rsidRPr="004F4558">
        <w:rPr>
          <w:sz w:val="22"/>
          <w:szCs w:val="22"/>
          <w:lang w:val="es-MX"/>
        </w:rPr>
        <w:t>Se informará de las inversiones financieras, los saldos de las participaciones y aportaciones de capital.</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08.- </w:t>
      </w:r>
      <w:r w:rsidRPr="004F4558">
        <w:rPr>
          <w:sz w:val="22"/>
          <w:szCs w:val="22"/>
          <w:lang w:val="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09.- </w:t>
      </w:r>
      <w:r w:rsidRPr="004F4558">
        <w:rPr>
          <w:sz w:val="22"/>
          <w:szCs w:val="22"/>
          <w:lang w:val="es-MX"/>
        </w:rPr>
        <w:t>Se informará de manera agrupada por cuenta, los rubros de activos intangibles y diferidos, su monto y naturaleza, amortización del ejercicio, amortización acumulada, tasa y método aplicados.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Estimaciones y Deterioros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10.- </w:t>
      </w:r>
      <w:r w:rsidRPr="004F4558">
        <w:rPr>
          <w:sz w:val="22"/>
          <w:szCs w:val="22"/>
          <w:lang w:val="es-MX"/>
        </w:rPr>
        <w:t>Se informarán los criterios utilizados para la determinación de las estimaciones; por ejemplo: estimación de cuentas incobrables, estimación de inventarios, deterioro de activos biológicos y cualquier otra que aplique.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Default="00172899" w:rsidP="00172899">
      <w:pPr>
        <w:pStyle w:val="ROMANOS"/>
        <w:spacing w:after="80" w:line="203" w:lineRule="exact"/>
        <w:ind w:left="288" w:firstLine="0"/>
        <w:rPr>
          <w:b/>
          <w:sz w:val="22"/>
          <w:szCs w:val="22"/>
          <w:lang w:val="es-MX"/>
        </w:rPr>
      </w:pPr>
    </w:p>
    <w:p w:rsidR="00172899" w:rsidRDefault="00172899" w:rsidP="00172899">
      <w:pPr>
        <w:pStyle w:val="ROMANOS"/>
        <w:spacing w:after="80" w:line="203" w:lineRule="exact"/>
        <w:ind w:left="288" w:firstLine="0"/>
        <w:rPr>
          <w:b/>
          <w:sz w:val="22"/>
          <w:szCs w:val="22"/>
          <w:lang w:val="es-MX"/>
        </w:rPr>
      </w:pPr>
    </w:p>
    <w:p w:rsidR="00172899" w:rsidRPr="004F4558" w:rsidRDefault="00172899" w:rsidP="00172899">
      <w:pPr>
        <w:pStyle w:val="ROMANOS"/>
        <w:spacing w:after="80" w:line="203" w:lineRule="exact"/>
        <w:ind w:left="288" w:firstLine="0"/>
        <w:rPr>
          <w:b/>
          <w:sz w:val="22"/>
          <w:szCs w:val="22"/>
          <w:lang w:val="es-MX"/>
        </w:rPr>
      </w:pPr>
      <w:bookmarkStart w:id="0" w:name="_GoBack"/>
      <w:bookmarkEnd w:id="0"/>
      <w:r w:rsidRPr="004F4558">
        <w:rPr>
          <w:b/>
          <w:sz w:val="22"/>
          <w:szCs w:val="22"/>
          <w:lang w:val="es-MX"/>
        </w:rPr>
        <w:lastRenderedPageBreak/>
        <w:t>Otros Activos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11.- </w:t>
      </w:r>
      <w:r w:rsidRPr="004F4558">
        <w:rPr>
          <w:sz w:val="22"/>
          <w:szCs w:val="22"/>
          <w:lang w:val="es-MX"/>
        </w:rPr>
        <w:t>De las cuentas de otros activos se informará por tipo circulante o no circulante, los montos totales asociados y sus características cualitativas significativas que les impacten financieramente.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12.- </w:t>
      </w:r>
      <w:r w:rsidRPr="004F4558">
        <w:rPr>
          <w:sz w:val="22"/>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13.- </w:t>
      </w:r>
      <w:r w:rsidRPr="004F4558">
        <w:rPr>
          <w:sz w:val="22"/>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14.- </w:t>
      </w:r>
      <w:r w:rsidRPr="004F4558">
        <w:rPr>
          <w:sz w:val="22"/>
          <w:szCs w:val="22"/>
          <w:lang w:val="es-MX"/>
        </w:rPr>
        <w:t>Se informará de las cuentas de los pasivos diferidos y otros, su tipo, monto y naturaleza, así como las características significativas que les impacten o pudieran impactarles financieramente.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172899" w:rsidRPr="004F4558" w:rsidRDefault="00172899" w:rsidP="00172899">
      <w:pPr>
        <w:pStyle w:val="ROMANOS"/>
        <w:spacing w:after="80" w:line="203" w:lineRule="exact"/>
        <w:ind w:left="288" w:firstLine="0"/>
        <w:jc w:val="center"/>
        <w:rPr>
          <w:b/>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Ingresos de Gestión</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EA 1.- </w:t>
      </w:r>
      <w:r w:rsidRPr="004F4558">
        <w:rPr>
          <w:sz w:val="22"/>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EA 2.- </w:t>
      </w:r>
      <w:r w:rsidRPr="004F4558">
        <w:rPr>
          <w:sz w:val="22"/>
          <w:szCs w:val="22"/>
          <w:lang w:val="es-MX"/>
        </w:rPr>
        <w:t>Se informará, de manera agrupada, el tipo, monto y naturaleza de la cuenta de otros ingresos, asimismo se informará de sus características significativas.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Gastos y Otras Pérdidas: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EA 3.- </w:t>
      </w:r>
      <w:r w:rsidRPr="004F4558">
        <w:rPr>
          <w:sz w:val="22"/>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Se informará de manera agrupada, acerca del monto y procedencia de los recursos que modifican al patrimonio generado.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Default="00172899" w:rsidP="00172899">
      <w:pPr>
        <w:pStyle w:val="ROMANOS"/>
        <w:spacing w:after="80" w:line="203" w:lineRule="exact"/>
        <w:ind w:left="288" w:firstLine="0"/>
        <w:rPr>
          <w:sz w:val="22"/>
          <w:szCs w:val="22"/>
          <w:lang w:val="es-MX"/>
        </w:rPr>
      </w:pP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Efectivo y equivalentes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172899" w:rsidRPr="004F4558" w:rsidRDefault="00172899" w:rsidP="00172899">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438"/>
        <w:gridCol w:w="1769"/>
        <w:gridCol w:w="1847"/>
      </w:tblGrid>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2015</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2014</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b/>
                <w:sz w:val="22"/>
                <w:szCs w:val="18"/>
                <w:lang w:val="es-MX"/>
              </w:rPr>
            </w:pPr>
            <w:r w:rsidRPr="004F4558">
              <w:rPr>
                <w:b/>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b/>
                <w:sz w:val="22"/>
                <w:szCs w:val="18"/>
                <w:lang w:val="es-MX"/>
              </w:rPr>
            </w:pPr>
            <w:r w:rsidRPr="004F4558">
              <w:rPr>
                <w:b/>
                <w:sz w:val="22"/>
                <w:szCs w:val="18"/>
                <w:lang w:val="es-MX"/>
              </w:rPr>
              <w:t>$_______</w:t>
            </w:r>
          </w:p>
        </w:tc>
      </w:tr>
    </w:tbl>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 xml:space="preserve">Detallar las adquisiciones de bienes muebles e inmuebles con su monto global y, en su caso, el porcentaje de estas adquisiciones que fueron realizadas mediante </w:t>
      </w:r>
      <w:r w:rsidRPr="004F4558">
        <w:rPr>
          <w:sz w:val="22"/>
          <w:szCs w:val="22"/>
          <w:lang w:val="es-MX"/>
        </w:rPr>
        <w:lastRenderedPageBreak/>
        <w:t>subsidios de capital del sector central. Adicionalmente, revelar el importe de los pagos que durante el período se hicieron por la compra de los elementos citados.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172899" w:rsidRPr="004F4558" w:rsidRDefault="00172899" w:rsidP="00172899">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270"/>
        <w:gridCol w:w="1903"/>
        <w:gridCol w:w="1881"/>
      </w:tblGrid>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2015</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2014</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b/>
                <w:sz w:val="22"/>
                <w:szCs w:val="18"/>
                <w:lang w:val="es-MX"/>
              </w:rPr>
            </w:pPr>
            <w:r w:rsidRPr="004F4558">
              <w:rPr>
                <w:b/>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b/>
                <w:sz w:val="22"/>
                <w:szCs w:val="18"/>
                <w:lang w:val="es-MX"/>
              </w:rPr>
            </w:pPr>
            <w:r w:rsidRPr="004F4558">
              <w:rPr>
                <w:b/>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bl>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EA 4.-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172899" w:rsidRPr="004F4558" w:rsidRDefault="00172899" w:rsidP="00172899">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3"/>
        <w:gridCol w:w="5152"/>
        <w:gridCol w:w="1984"/>
        <w:gridCol w:w="1679"/>
      </w:tblGrid>
      <w:tr w:rsidR="00172899" w:rsidRPr="004F4558" w:rsidTr="00EB13DF">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172899" w:rsidRPr="004F4558" w:rsidRDefault="00172899" w:rsidP="00EB13DF">
            <w:pPr>
              <w:pStyle w:val="Texto"/>
              <w:spacing w:line="350" w:lineRule="exact"/>
              <w:ind w:firstLine="0"/>
              <w:jc w:val="center"/>
              <w:rPr>
                <w:b/>
                <w:szCs w:val="18"/>
              </w:rPr>
            </w:pPr>
            <w:r w:rsidRPr="004F4558">
              <w:rPr>
                <w:b/>
                <w:szCs w:val="18"/>
              </w:rPr>
              <w:t>Nombre del Ente Público</w:t>
            </w:r>
          </w:p>
        </w:tc>
      </w:tr>
      <w:tr w:rsidR="00172899" w:rsidRPr="004F4558" w:rsidTr="00EB13DF">
        <w:trPr>
          <w:trHeight w:val="70"/>
        </w:trPr>
        <w:tc>
          <w:tcPr>
            <w:tcW w:w="5000" w:type="pct"/>
            <w:gridSpan w:val="4"/>
            <w:tcBorders>
              <w:left w:val="single" w:sz="6" w:space="0" w:color="auto"/>
              <w:right w:val="single" w:sz="6" w:space="0" w:color="000000"/>
            </w:tcBorders>
            <w:shd w:val="clear" w:color="000000" w:fill="C0C0C0"/>
          </w:tcPr>
          <w:p w:rsidR="00172899" w:rsidRPr="004F4558" w:rsidRDefault="00172899" w:rsidP="00EB13DF">
            <w:pPr>
              <w:pStyle w:val="Texto"/>
              <w:spacing w:line="350" w:lineRule="exact"/>
              <w:ind w:firstLine="0"/>
              <w:jc w:val="center"/>
              <w:rPr>
                <w:b/>
                <w:szCs w:val="18"/>
              </w:rPr>
            </w:pPr>
            <w:r w:rsidRPr="004F4558">
              <w:rPr>
                <w:b/>
                <w:szCs w:val="18"/>
              </w:rPr>
              <w:t>Conciliación entre los Ingresos Presupuestarios y Contables</w:t>
            </w:r>
          </w:p>
        </w:tc>
      </w:tr>
      <w:tr w:rsidR="00172899" w:rsidRPr="004F4558" w:rsidTr="00EB13DF">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172899" w:rsidRPr="004F4558" w:rsidRDefault="00172899" w:rsidP="00EB13DF">
            <w:pPr>
              <w:pStyle w:val="Texto"/>
              <w:spacing w:line="350" w:lineRule="exact"/>
              <w:ind w:firstLine="0"/>
              <w:jc w:val="center"/>
              <w:rPr>
                <w:b/>
                <w:szCs w:val="18"/>
              </w:rPr>
            </w:pPr>
            <w:r>
              <w:rPr>
                <w:b/>
                <w:szCs w:val="18"/>
              </w:rPr>
              <w:t xml:space="preserve">Correspondiente __ de _____ al __ de _____ </w:t>
            </w:r>
            <w:proofErr w:type="spellStart"/>
            <w:r>
              <w:rPr>
                <w:b/>
                <w:szCs w:val="18"/>
              </w:rPr>
              <w:t>de</w:t>
            </w:r>
            <w:proofErr w:type="spellEnd"/>
            <w:r>
              <w:rPr>
                <w:b/>
                <w:szCs w:val="18"/>
              </w:rPr>
              <w:t xml:space="preserve"> 2015</w:t>
            </w:r>
          </w:p>
          <w:p w:rsidR="00172899" w:rsidRPr="004F4558" w:rsidRDefault="00172899" w:rsidP="00EB13DF">
            <w:pPr>
              <w:pStyle w:val="Texto"/>
              <w:spacing w:line="350" w:lineRule="exact"/>
              <w:ind w:firstLine="0"/>
              <w:jc w:val="center"/>
              <w:rPr>
                <w:b/>
                <w:szCs w:val="18"/>
              </w:rPr>
            </w:pPr>
            <w:r w:rsidRPr="004F4558">
              <w:rPr>
                <w:b/>
                <w:szCs w:val="18"/>
              </w:rPr>
              <w:t>(Cifras en pesos)</w:t>
            </w: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350" w:lineRule="exact"/>
              <w:ind w:firstLine="0"/>
              <w:jc w:val="center"/>
              <w:rPr>
                <w:b/>
                <w:szCs w:val="18"/>
              </w:rPr>
            </w:pPr>
            <w:r>
              <w:rPr>
                <w:b/>
                <w:szCs w:val="18"/>
              </w:rPr>
              <w:t>$____</w:t>
            </w:r>
          </w:p>
        </w:tc>
      </w:tr>
      <w:tr w:rsidR="00172899" w:rsidRPr="004F4558" w:rsidTr="00EB13DF">
        <w:trPr>
          <w:trHeight w:val="20"/>
        </w:trPr>
        <w:tc>
          <w:tcPr>
            <w:tcW w:w="2960" w:type="pct"/>
            <w:gridSpan w:val="2"/>
            <w:tcBorders>
              <w:top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1105" w:type="pct"/>
            <w:tcBorders>
              <w:top w:val="single" w:sz="6" w:space="0" w:color="auto"/>
              <w:bottom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bottom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172899" w:rsidRPr="00621CCC" w:rsidRDefault="00172899" w:rsidP="00EB13DF">
            <w:pPr>
              <w:pStyle w:val="Texto"/>
              <w:spacing w:line="350" w:lineRule="exact"/>
              <w:ind w:firstLine="0"/>
              <w:jc w:val="center"/>
              <w:rPr>
                <w:b/>
                <w:szCs w:val="18"/>
              </w:rPr>
            </w:pPr>
            <w:r w:rsidRPr="00621CCC">
              <w:rPr>
                <w:b/>
                <w:szCs w:val="18"/>
              </w:rPr>
              <w:t>$____</w:t>
            </w: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 xml:space="preserve">Disminución del exceso de estimaciones por pérdida o </w:t>
            </w:r>
            <w:r w:rsidRPr="004F4558">
              <w:rPr>
                <w:szCs w:val="18"/>
              </w:rPr>
              <w:lastRenderedPageBreak/>
              <w:t>deterioro u obsolescencia</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lastRenderedPageBreak/>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1105" w:type="pct"/>
            <w:tcBorders>
              <w:top w:val="single" w:sz="6" w:space="0" w:color="auto"/>
              <w:bottom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bottom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172899" w:rsidRPr="00621CCC" w:rsidRDefault="00172899" w:rsidP="00EB13DF">
            <w:pPr>
              <w:pStyle w:val="Texto"/>
              <w:spacing w:line="350" w:lineRule="exact"/>
              <w:ind w:firstLine="0"/>
              <w:jc w:val="center"/>
              <w:rPr>
                <w:b/>
                <w:szCs w:val="18"/>
              </w:rPr>
            </w:pPr>
            <w:r w:rsidRPr="00621CCC">
              <w:rPr>
                <w:b/>
                <w:szCs w:val="18"/>
              </w:rPr>
              <w:t>$____</w:t>
            </w: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1105" w:type="pct"/>
            <w:tcBorders>
              <w:top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bottom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350" w:lineRule="exact"/>
              <w:ind w:firstLine="0"/>
              <w:jc w:val="center"/>
              <w:rPr>
                <w:b/>
                <w:szCs w:val="18"/>
              </w:rPr>
            </w:pPr>
            <w:r w:rsidRPr="004F4558">
              <w:rPr>
                <w:b/>
                <w:szCs w:val="18"/>
              </w:rPr>
              <w:t>$</w:t>
            </w:r>
            <w:r>
              <w:rPr>
                <w:b/>
                <w:szCs w:val="18"/>
              </w:rPr>
              <w:t>____</w:t>
            </w:r>
          </w:p>
        </w:tc>
      </w:tr>
    </w:tbl>
    <w:p w:rsidR="00172899" w:rsidRPr="004F4558" w:rsidRDefault="00172899" w:rsidP="00172899">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172899" w:rsidRPr="004F4558" w:rsidTr="00EB13DF">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172899" w:rsidRPr="004F4558" w:rsidRDefault="00172899" w:rsidP="00EB13DF">
            <w:pPr>
              <w:pStyle w:val="Texto"/>
              <w:spacing w:line="254" w:lineRule="exact"/>
              <w:ind w:firstLine="0"/>
              <w:jc w:val="center"/>
              <w:rPr>
                <w:b/>
                <w:szCs w:val="18"/>
              </w:rPr>
            </w:pPr>
            <w:r w:rsidRPr="004F4558">
              <w:rPr>
                <w:b/>
                <w:szCs w:val="18"/>
              </w:rPr>
              <w:t>Nombre del Ente Público</w:t>
            </w:r>
          </w:p>
        </w:tc>
      </w:tr>
      <w:tr w:rsidR="00172899" w:rsidRPr="004F4558" w:rsidTr="00EB13DF">
        <w:trPr>
          <w:trHeight w:val="20"/>
        </w:trPr>
        <w:tc>
          <w:tcPr>
            <w:tcW w:w="5000" w:type="pct"/>
            <w:gridSpan w:val="4"/>
            <w:tcBorders>
              <w:left w:val="single" w:sz="6" w:space="0" w:color="auto"/>
              <w:right w:val="single" w:sz="6" w:space="0" w:color="000000"/>
            </w:tcBorders>
            <w:shd w:val="clear" w:color="000000" w:fill="C0C0C0"/>
          </w:tcPr>
          <w:p w:rsidR="00172899" w:rsidRPr="004F4558" w:rsidRDefault="00172899" w:rsidP="00EB13DF">
            <w:pPr>
              <w:pStyle w:val="Texto"/>
              <w:spacing w:line="254" w:lineRule="exact"/>
              <w:ind w:firstLine="0"/>
              <w:jc w:val="center"/>
              <w:rPr>
                <w:b/>
                <w:szCs w:val="18"/>
              </w:rPr>
            </w:pPr>
            <w:r w:rsidRPr="004F4558">
              <w:rPr>
                <w:b/>
                <w:szCs w:val="18"/>
              </w:rPr>
              <w:t>Conciliación entre los Egresos Presupuestarios y los Gastos Contables</w:t>
            </w:r>
          </w:p>
        </w:tc>
      </w:tr>
      <w:tr w:rsidR="00172899" w:rsidRPr="004F4558" w:rsidTr="00EB13DF">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172899" w:rsidRPr="004F4558" w:rsidRDefault="00172899" w:rsidP="00EB13DF">
            <w:pPr>
              <w:pStyle w:val="Texto"/>
              <w:spacing w:line="254" w:lineRule="exact"/>
              <w:ind w:firstLine="0"/>
              <w:jc w:val="center"/>
              <w:rPr>
                <w:b/>
                <w:szCs w:val="18"/>
              </w:rPr>
            </w:pPr>
            <w:r>
              <w:rPr>
                <w:b/>
                <w:szCs w:val="18"/>
              </w:rPr>
              <w:t xml:space="preserve">Correspondiente __ de _____ al __ de _____ </w:t>
            </w:r>
            <w:proofErr w:type="spellStart"/>
            <w:r>
              <w:rPr>
                <w:b/>
                <w:szCs w:val="18"/>
              </w:rPr>
              <w:t>de</w:t>
            </w:r>
            <w:proofErr w:type="spellEnd"/>
            <w:r>
              <w:rPr>
                <w:b/>
                <w:szCs w:val="18"/>
              </w:rPr>
              <w:t xml:space="preserve"> 2015</w:t>
            </w:r>
          </w:p>
        </w:tc>
      </w:tr>
      <w:tr w:rsidR="00172899" w:rsidRPr="004F4558" w:rsidTr="00EB13DF">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172899" w:rsidRPr="004F4558" w:rsidRDefault="00172899" w:rsidP="00EB13DF">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172899" w:rsidRPr="00621CCC" w:rsidRDefault="00172899" w:rsidP="00EB13DF">
            <w:pPr>
              <w:pStyle w:val="Texto"/>
              <w:spacing w:line="254" w:lineRule="exact"/>
              <w:ind w:firstLine="0"/>
              <w:jc w:val="center"/>
              <w:rPr>
                <w:b/>
                <w:szCs w:val="18"/>
              </w:rPr>
            </w:pPr>
            <w:r w:rsidRPr="00621CCC">
              <w:rPr>
                <w:b/>
                <w:szCs w:val="18"/>
              </w:rPr>
              <w:t>$____</w:t>
            </w:r>
          </w:p>
        </w:tc>
      </w:tr>
      <w:tr w:rsidR="00172899" w:rsidRPr="004F4558" w:rsidTr="00EB13DF">
        <w:trPr>
          <w:trHeight w:val="20"/>
        </w:trPr>
        <w:tc>
          <w:tcPr>
            <w:tcW w:w="2961" w:type="pct"/>
            <w:gridSpan w:val="2"/>
            <w:tcBorders>
              <w:top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1091" w:type="pct"/>
            <w:tcBorders>
              <w:top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948" w:type="pct"/>
            <w:tcBorders>
              <w:top w:val="single" w:sz="6" w:space="0" w:color="auto"/>
              <w:bottom w:val="single" w:sz="6" w:space="0" w:color="auto"/>
            </w:tcBorders>
          </w:tcPr>
          <w:p w:rsidR="00172899" w:rsidRPr="004F4558" w:rsidRDefault="00172899" w:rsidP="00EB13DF">
            <w:pPr>
              <w:pStyle w:val="Texto"/>
              <w:spacing w:line="254" w:lineRule="exact"/>
              <w:ind w:firstLine="0"/>
              <w:jc w:val="center"/>
              <w:rPr>
                <w:szCs w:val="18"/>
              </w:rPr>
            </w:pPr>
          </w:p>
        </w:tc>
      </w:tr>
      <w:tr w:rsidR="00172899" w:rsidRPr="004F4558" w:rsidTr="00EB13DF">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172899" w:rsidRPr="00621CCC" w:rsidRDefault="00172899" w:rsidP="00EB13DF">
            <w:pPr>
              <w:pStyle w:val="Texto"/>
              <w:spacing w:line="254" w:lineRule="exact"/>
              <w:ind w:firstLine="0"/>
              <w:jc w:val="center"/>
              <w:rPr>
                <w:b/>
                <w:szCs w:val="18"/>
              </w:rPr>
            </w:pPr>
            <w:r w:rsidRPr="00621CCC">
              <w:rPr>
                <w:b/>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trHeight w:val="20"/>
        </w:trPr>
        <w:tc>
          <w:tcPr>
            <w:tcW w:w="2961" w:type="pct"/>
            <w:gridSpan w:val="2"/>
            <w:tcBorders>
              <w:top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1091" w:type="pct"/>
            <w:tcBorders>
              <w:top w:val="single" w:sz="6" w:space="0" w:color="auto"/>
              <w:bottom w:val="single" w:sz="6" w:space="0" w:color="auto"/>
            </w:tcBorders>
          </w:tcPr>
          <w:p w:rsidR="00172899" w:rsidRPr="004F4558" w:rsidRDefault="00172899" w:rsidP="00EB13DF">
            <w:pPr>
              <w:pStyle w:val="Texto"/>
              <w:spacing w:line="254" w:lineRule="exact"/>
              <w:ind w:firstLine="0"/>
              <w:jc w:val="center"/>
              <w:rPr>
                <w:szCs w:val="18"/>
              </w:rPr>
            </w:pPr>
          </w:p>
        </w:tc>
        <w:tc>
          <w:tcPr>
            <w:tcW w:w="948" w:type="pct"/>
            <w:tcBorders>
              <w:bottom w:val="single" w:sz="6" w:space="0" w:color="auto"/>
            </w:tcBorders>
          </w:tcPr>
          <w:p w:rsidR="00172899" w:rsidRPr="004F4558" w:rsidRDefault="00172899" w:rsidP="00EB13DF">
            <w:pPr>
              <w:pStyle w:val="Texto"/>
              <w:spacing w:line="254" w:lineRule="exact"/>
              <w:ind w:firstLine="0"/>
              <w:rPr>
                <w:szCs w:val="18"/>
              </w:rPr>
            </w:pPr>
          </w:p>
        </w:tc>
      </w:tr>
      <w:tr w:rsidR="00172899" w:rsidRPr="004F4558" w:rsidTr="00EB13DF">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172899" w:rsidRPr="00621CCC" w:rsidRDefault="00172899" w:rsidP="00EB13DF">
            <w:pPr>
              <w:pStyle w:val="Texto"/>
              <w:spacing w:line="254" w:lineRule="exact"/>
              <w:ind w:firstLine="0"/>
              <w:jc w:val="center"/>
              <w:rPr>
                <w:b/>
                <w:szCs w:val="18"/>
              </w:rPr>
            </w:pPr>
            <w:r w:rsidRPr="00621CCC">
              <w:rPr>
                <w:b/>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trHeight w:val="20"/>
        </w:trPr>
        <w:tc>
          <w:tcPr>
            <w:tcW w:w="2961" w:type="pct"/>
            <w:gridSpan w:val="2"/>
            <w:tcBorders>
              <w:top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1091" w:type="pct"/>
            <w:tcBorders>
              <w:top w:val="single" w:sz="6" w:space="0" w:color="auto"/>
            </w:tcBorders>
          </w:tcPr>
          <w:p w:rsidR="00172899" w:rsidRPr="004F4558" w:rsidRDefault="00172899" w:rsidP="00EB13DF">
            <w:pPr>
              <w:pStyle w:val="Texto"/>
              <w:spacing w:line="254" w:lineRule="exact"/>
              <w:ind w:firstLine="0"/>
              <w:jc w:val="center"/>
              <w:rPr>
                <w:szCs w:val="18"/>
              </w:rPr>
            </w:pPr>
          </w:p>
        </w:tc>
        <w:tc>
          <w:tcPr>
            <w:tcW w:w="948" w:type="pct"/>
            <w:tcBorders>
              <w:bottom w:val="single" w:sz="6" w:space="0" w:color="auto"/>
            </w:tcBorders>
          </w:tcPr>
          <w:p w:rsidR="00172899" w:rsidRPr="004F4558" w:rsidRDefault="00172899" w:rsidP="00EB13DF">
            <w:pPr>
              <w:pStyle w:val="Texto"/>
              <w:spacing w:line="254" w:lineRule="exact"/>
              <w:ind w:firstLine="0"/>
              <w:jc w:val="center"/>
              <w:rPr>
                <w:szCs w:val="18"/>
              </w:rPr>
            </w:pPr>
          </w:p>
        </w:tc>
      </w:tr>
      <w:tr w:rsidR="00172899" w:rsidRPr="004F4558" w:rsidTr="00EB13DF">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172899" w:rsidRPr="004F4558" w:rsidRDefault="00172899" w:rsidP="00EB13DF">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172899" w:rsidRPr="00621CCC" w:rsidRDefault="00172899" w:rsidP="00EB13DF">
            <w:pPr>
              <w:pStyle w:val="Texto"/>
              <w:spacing w:line="254" w:lineRule="exact"/>
              <w:ind w:firstLine="0"/>
              <w:jc w:val="center"/>
              <w:rPr>
                <w:b/>
                <w:szCs w:val="18"/>
              </w:rPr>
            </w:pPr>
            <w:r w:rsidRPr="00621CCC">
              <w:rPr>
                <w:b/>
                <w:szCs w:val="18"/>
              </w:rPr>
              <w:t>$____</w:t>
            </w:r>
          </w:p>
        </w:tc>
      </w:tr>
    </w:tbl>
    <w:p w:rsidR="00172899" w:rsidRDefault="00172899" w:rsidP="00172899">
      <w:pPr>
        <w:pStyle w:val="ROMANOS"/>
        <w:spacing w:after="80" w:line="203" w:lineRule="exact"/>
        <w:rPr>
          <w:sz w:val="22"/>
          <w:szCs w:val="22"/>
          <w:lang w:val="es-MX"/>
        </w:rPr>
      </w:pPr>
    </w:p>
    <w:p w:rsidR="00172899" w:rsidRDefault="00172899" w:rsidP="00172899">
      <w:pPr>
        <w:rPr>
          <w:rFonts w:ascii="Arial" w:eastAsia="Times New Roman" w:hAnsi="Arial" w:cs="Arial"/>
          <w:lang w:eastAsia="es-ES"/>
        </w:rPr>
      </w:pPr>
      <w:r>
        <w:br w:type="page"/>
      </w:r>
    </w:p>
    <w:p w:rsidR="00172899" w:rsidRPr="00CA1EE4" w:rsidRDefault="00172899" w:rsidP="00172899">
      <w:pPr>
        <w:pStyle w:val="ROMANOS"/>
        <w:spacing w:after="80" w:line="203" w:lineRule="exact"/>
        <w:jc w:val="center"/>
        <w:rPr>
          <w:b/>
          <w:sz w:val="22"/>
          <w:szCs w:val="22"/>
          <w:lang w:val="es-MX"/>
        </w:rPr>
      </w:pPr>
      <w:r w:rsidRPr="00CA1EE4">
        <w:rPr>
          <w:b/>
          <w:sz w:val="22"/>
          <w:szCs w:val="22"/>
          <w:lang w:val="es-MX"/>
        </w:rPr>
        <w:lastRenderedPageBreak/>
        <w:t>Vínculos de las Notas de Desglose con las Cuentas Contables</w:t>
      </w: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tab/>
      </w:r>
      <w:r w:rsidRPr="004F4558">
        <w:rPr>
          <w:sz w:val="22"/>
          <w:szCs w:val="22"/>
          <w:lang w:val="es-MX"/>
        </w:rPr>
        <w:t>A continuación a modo informativo se presentan los vínculos que existen entr</w:t>
      </w:r>
      <w:r>
        <w:rPr>
          <w:sz w:val="22"/>
          <w:szCs w:val="22"/>
          <w:lang w:val="es-MX"/>
        </w:rPr>
        <w:t>e</w:t>
      </w:r>
      <w:r w:rsidRPr="004F4558">
        <w:rPr>
          <w:sz w:val="22"/>
          <w:szCs w:val="22"/>
          <w:lang w:val="es-MX"/>
        </w:rPr>
        <w:t xml:space="preserve"> las notas de desglose y las cuentas contables que se presentan en los estados financieros contables, lo anterior con el fin de que en el caso de que </w:t>
      </w:r>
      <w:r>
        <w:rPr>
          <w:sz w:val="22"/>
          <w:szCs w:val="22"/>
          <w:lang w:val="es-MX"/>
        </w:rPr>
        <w:t xml:space="preserve">le </w:t>
      </w:r>
      <w:r w:rsidRPr="004F4558">
        <w:rPr>
          <w:sz w:val="22"/>
          <w:szCs w:val="22"/>
          <w:lang w:val="es-MX"/>
        </w:rPr>
        <w:t xml:space="preserve">aplique la nota </w:t>
      </w:r>
      <w:r>
        <w:rPr>
          <w:sz w:val="22"/>
          <w:szCs w:val="22"/>
          <w:lang w:val="es-MX"/>
        </w:rPr>
        <w:t xml:space="preserve">al ente público, </w:t>
      </w:r>
      <w:r w:rsidRPr="004F4558">
        <w:rPr>
          <w:sz w:val="22"/>
          <w:szCs w:val="22"/>
          <w:lang w:val="es-MX"/>
        </w:rPr>
        <w:t xml:space="preserve">se vincule en el estado financiero correspondiente para que </w:t>
      </w:r>
      <w:r>
        <w:rPr>
          <w:sz w:val="22"/>
          <w:szCs w:val="22"/>
          <w:lang w:val="es-MX"/>
        </w:rPr>
        <w:t xml:space="preserve">sea </w:t>
      </w:r>
      <w:r w:rsidRPr="004F4558">
        <w:rPr>
          <w:sz w:val="22"/>
          <w:szCs w:val="22"/>
          <w:lang w:val="es-MX"/>
        </w:rPr>
        <w:t>analizado en conjunto con sus notas particulares, con el fin de obtener información relevante sobre el mismo que no surge de su estructura.</w:t>
      </w:r>
    </w:p>
    <w:p w:rsidR="00172899" w:rsidRPr="004F4558" w:rsidRDefault="00172899" w:rsidP="00172899">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1"/>
        <w:gridCol w:w="7897"/>
      </w:tblGrid>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NOTA</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 CONTABLE CON LA QUE SE VINCULA</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1.1.1 Efectivo y Equivalentes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1.1.2 Derechos a Recibir Efectivo o Equivalentes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03</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1.1.2 Derechos a Recibir Efectivo o Equivalentes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04</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1.1.4 Inventarios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05</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1.1.5 Almacenes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06</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1.2.1 Inversiones Financieras a Largo Plazo</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07</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1.2.1 Inversiones Financieras a Largo Plazo</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08</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1.2.3 Bienes Inmuebles, Infraestructura y Construcciones en Proceso y 1.2.4 Bienes Muebles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09</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1.2.5 Activos Intangibles y 1.2.7 Activos Diferidos</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10</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1.1.6 Estimación por Pérdida o Deterioro de Activos Circulantes y 1.2.8 Estimación por Pérdida o Deterioro de Activos no Circulantes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1.1.9 Otros Activos Circulantes y 1.2.9 Otros Activos no Circulantes</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2.1.1 Cuentas por Pagar a Corto Plazo, 2.1.2 Documentos por Pagar a Corto Plazo, 2.2.1 Cuentas por Pagar a Largo Plazo y 2.2.2 Documentos por Pagar a Largo Plazo</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13</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2.1.6 Fondos y Bienes de Terceros en Garantía y/o Administración a Corto Plazo y 2.2.5 Fondos y Bienes de Terceros en Garantía y/o Administración a Largo Plazo</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14</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2.1.5 Pasivos Diferidos a Corto Plazo, 2.1.9 Otros Pasivos a Corto Plazo y 2.2.4 Pasivos Diferidos a Largo Plazo</w:t>
            </w:r>
          </w:p>
        </w:tc>
      </w:tr>
      <w:tr w:rsidR="00172899" w:rsidRPr="004F4558" w:rsidTr="00EB13DF">
        <w:trPr>
          <w:trHeight w:val="75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EA 01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4.1.1 Impuestos, 4.1.3 Contribuciones de Mejoras, 4.1.4 Derechos, 4.1.5 Productos de Tipo Corriente, 4.1.6 Aprovechamientos de Tipo Corriente, 4.2.1 Participaciones y Aportaciones y 4.2.2 Transferencias, Asignaciones, Subsidios y Otras ayudas</w:t>
            </w:r>
          </w:p>
        </w:tc>
      </w:tr>
      <w:tr w:rsidR="00172899" w:rsidRPr="004F4558" w:rsidTr="00EB13DF">
        <w:trPr>
          <w:trHeight w:val="75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EA 02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4.3.1 Ingresos Financieros, 4.3.2 Incremento por Variación de Inventarios, 4.3.3 Disminución del Exceso de Estimaciones por Pérdida o Deterioro u Obsolescencia, 4.3.4 Disminución del Exceso de Provisiones y 4.3.9 Otros Ingresos y Beneficios Varios</w:t>
            </w:r>
          </w:p>
        </w:tc>
      </w:tr>
      <w:tr w:rsidR="00172899" w:rsidRPr="004F4558" w:rsidTr="00EB13DF">
        <w:trPr>
          <w:trHeight w:val="225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EA 03</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EA 04</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4 INGRESOS Y OTROS BENEFICIOS y 5 GASTOS Y OTRAS PERDIDAS</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EVHP 01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3.1.1 Aportaciones, 3.1.2 Donaciones de Capital y 3.1.3 Actualización de la Hacienda Pública/Patrimonio</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EVHP 02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 xml:space="preserve">3.2.1 Resultados del Ejercicio (Ahorro/ Desahorro), 3.2.2 Resultados de Ejercicios Anteriores, 3.2.3 </w:t>
            </w:r>
            <w:proofErr w:type="spellStart"/>
            <w:r w:rsidRPr="004F4558">
              <w:rPr>
                <w:rFonts w:ascii="Arial" w:eastAsia="Times New Roman" w:hAnsi="Arial" w:cs="Arial"/>
                <w:color w:val="000000"/>
                <w:sz w:val="20"/>
                <w:szCs w:val="20"/>
              </w:rPr>
              <w:t>Revalúos</w:t>
            </w:r>
            <w:proofErr w:type="spellEnd"/>
            <w:r w:rsidRPr="004F4558">
              <w:rPr>
                <w:rFonts w:ascii="Arial" w:eastAsia="Times New Roman" w:hAnsi="Arial" w:cs="Arial"/>
                <w:color w:val="000000"/>
                <w:sz w:val="20"/>
                <w:szCs w:val="20"/>
              </w:rPr>
              <w:t xml:space="preserve">, 3.2.4 Reservas, 3.2.5 Rectificaciones de Resultados de </w:t>
            </w:r>
            <w:r w:rsidRPr="004F4558">
              <w:rPr>
                <w:rFonts w:ascii="Arial" w:eastAsia="Times New Roman" w:hAnsi="Arial" w:cs="Arial"/>
                <w:color w:val="000000"/>
                <w:sz w:val="20"/>
                <w:szCs w:val="20"/>
              </w:rPr>
              <w:lastRenderedPageBreak/>
              <w:t>Ejercicios Anteriores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EFE 01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1.1.1 Efectivo y Equivalentes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EFE 02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1.2.3 Bienes Inmuebles, Infraestructura y Construcciones en Proceso y 1.2.4 Bienes Muebles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EFE 03</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Las cuentas contables que se incluyen en el Flujos de Efectivo de las Actividades de Operación</w:t>
            </w:r>
          </w:p>
        </w:tc>
      </w:tr>
    </w:tbl>
    <w:p w:rsidR="00172899" w:rsidRPr="004F4558" w:rsidRDefault="00172899" w:rsidP="00172899">
      <w:pPr>
        <w:pStyle w:val="ROMANOS"/>
        <w:spacing w:after="80" w:line="203" w:lineRule="exact"/>
        <w:ind w:left="288" w:firstLine="0"/>
        <w:rPr>
          <w:sz w:val="22"/>
          <w:szCs w:val="22"/>
          <w:lang w:val="es-MX"/>
        </w:rPr>
      </w:pPr>
    </w:p>
    <w:p w:rsidR="00172899" w:rsidRDefault="00172899" w:rsidP="00172899">
      <w:pPr>
        <w:rPr>
          <w:rFonts w:ascii="Arial" w:eastAsia="Times New Roman" w:hAnsi="Arial" w:cs="Arial"/>
          <w:lang w:eastAsia="es-ES"/>
        </w:rPr>
      </w:pPr>
      <w:r>
        <w:br w:type="page"/>
      </w:r>
    </w:p>
    <w:p w:rsidR="00172899" w:rsidRPr="004F4558" w:rsidRDefault="00172899" w:rsidP="00172899">
      <w:pPr>
        <w:pStyle w:val="Texto"/>
        <w:spacing w:after="80" w:line="203" w:lineRule="exact"/>
        <w:jc w:val="center"/>
        <w:rPr>
          <w:b/>
          <w:sz w:val="22"/>
          <w:szCs w:val="22"/>
        </w:rPr>
      </w:pPr>
      <w:r w:rsidRPr="004F4558">
        <w:rPr>
          <w:b/>
          <w:sz w:val="22"/>
          <w:szCs w:val="22"/>
        </w:rPr>
        <w:lastRenderedPageBreak/>
        <w:t>b) NOTAS DE MEMORIA (CUENTAS DE ORDEN)</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Contables: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7.1 Valores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7.2 Emisión de obligaciones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7.3 Avales y garantías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7.4 Juicios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7.6 Bienes concesionados o en comodato</w:t>
      </w:r>
    </w:p>
    <w:p w:rsidR="00172899" w:rsidRPr="004F4558" w:rsidRDefault="00172899" w:rsidP="00172899">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172899" w:rsidRPr="004F4558" w:rsidTr="00EB13DF">
        <w:trPr>
          <w:trHeight w:val="260"/>
        </w:trPr>
        <w:tc>
          <w:tcPr>
            <w:tcW w:w="5000" w:type="pct"/>
            <w:gridSpan w:val="5"/>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172899" w:rsidRPr="004F4558" w:rsidTr="00EB13DF">
        <w:trPr>
          <w:trHeight w:val="520"/>
        </w:trPr>
        <w:tc>
          <w:tcPr>
            <w:tcW w:w="2845"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1"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7.3.1 Avales Autorizados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172899" w:rsidRPr="00647EFD" w:rsidRDefault="00172899" w:rsidP="00172899">
      <w:pPr>
        <w:pStyle w:val="ROMANOS"/>
        <w:spacing w:after="80" w:line="203" w:lineRule="exact"/>
        <w:ind w:left="0" w:firstLine="0"/>
        <w:rPr>
          <w:szCs w:val="22"/>
          <w:lang w:val="es-MX"/>
        </w:rPr>
      </w:pPr>
      <w:r w:rsidRPr="00647EFD">
        <w:rPr>
          <w:b/>
          <w:color w:val="0070C0"/>
          <w:szCs w:val="22"/>
          <w:lang w:val="es-MX"/>
        </w:rPr>
        <w:t>Nota:</w:t>
      </w:r>
      <w:r w:rsidRPr="00647EFD">
        <w:rPr>
          <w:color w:val="0070C0"/>
          <w:szCs w:val="22"/>
          <w:lang w:val="es-MX"/>
        </w:rPr>
        <w:t xml:space="preserve"> Aquí deberá poner el ente público la información correspondiente.</w:t>
      </w:r>
    </w:p>
    <w:p w:rsidR="00172899" w:rsidRDefault="00172899" w:rsidP="00172899">
      <w:pPr>
        <w:rPr>
          <w:rFonts w:ascii="Arial" w:eastAsia="Times New Roman" w:hAnsi="Arial" w:cs="Arial"/>
          <w:lang w:eastAsia="es-ES"/>
        </w:rPr>
      </w:pPr>
      <w:r>
        <w:br w:type="page"/>
      </w: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lastRenderedPageBreak/>
        <w:t>Presupuestarias: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8.1 Cuentas de ingresos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8.2 Cuentas de egresos</w:t>
      </w:r>
    </w:p>
    <w:p w:rsidR="00172899" w:rsidRPr="004F4558" w:rsidRDefault="00172899" w:rsidP="00172899">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172899" w:rsidRPr="004F4558" w:rsidTr="00EB13DF">
        <w:trPr>
          <w:trHeight w:val="260"/>
        </w:trPr>
        <w:tc>
          <w:tcPr>
            <w:tcW w:w="5000" w:type="pct"/>
            <w:gridSpan w:val="5"/>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172899" w:rsidRPr="004F4558" w:rsidTr="00EB13DF">
        <w:trPr>
          <w:trHeight w:val="520"/>
        </w:trPr>
        <w:tc>
          <w:tcPr>
            <w:tcW w:w="2845"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1"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8.2.3 Modificaciones al Presupuesto de Egresos Aprobado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8.2.5 Presupuesto de Egresos Devengado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8.2.6 Presupuesto de Egresos Ejercido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172899" w:rsidRPr="00647EFD" w:rsidRDefault="00172899" w:rsidP="00172899">
      <w:pPr>
        <w:pStyle w:val="ROMANOS"/>
        <w:spacing w:after="80" w:line="203" w:lineRule="exact"/>
        <w:ind w:left="0" w:firstLine="0"/>
        <w:rPr>
          <w:szCs w:val="22"/>
          <w:lang w:val="es-MX"/>
        </w:rPr>
      </w:pPr>
      <w:r w:rsidRPr="00647EFD">
        <w:rPr>
          <w:b/>
          <w:color w:val="0070C0"/>
          <w:szCs w:val="22"/>
          <w:lang w:val="es-MX"/>
        </w:rPr>
        <w:t>Nota:</w:t>
      </w:r>
      <w:r w:rsidRPr="00647EFD">
        <w:rPr>
          <w:color w:val="0070C0"/>
          <w:szCs w:val="22"/>
          <w:lang w:val="es-MX"/>
        </w:rPr>
        <w:t xml:space="preserve"> Aquí deberá poner el ente público la información correspondiente.</w:t>
      </w:r>
    </w:p>
    <w:p w:rsidR="00172899" w:rsidRPr="004F4558" w:rsidRDefault="00172899" w:rsidP="00172899">
      <w:pPr>
        <w:rPr>
          <w:rFonts w:ascii="Arial" w:eastAsia="Times New Roman" w:hAnsi="Arial" w:cs="Arial"/>
          <w:lang w:eastAsia="es-ES"/>
        </w:rPr>
      </w:pPr>
      <w:r w:rsidRPr="004F4558">
        <w:br w:type="page"/>
      </w:r>
    </w:p>
    <w:p w:rsidR="00172899" w:rsidRPr="004F4558" w:rsidRDefault="00172899" w:rsidP="00172899">
      <w:pPr>
        <w:pStyle w:val="Texto"/>
        <w:spacing w:after="80" w:line="203" w:lineRule="exact"/>
        <w:jc w:val="center"/>
        <w:rPr>
          <w:b/>
          <w:sz w:val="22"/>
          <w:szCs w:val="22"/>
        </w:rPr>
      </w:pPr>
      <w:r w:rsidRPr="004F4558">
        <w:rPr>
          <w:b/>
          <w:sz w:val="22"/>
          <w:szCs w:val="22"/>
        </w:rPr>
        <w:lastRenderedPageBreak/>
        <w:t>c) NOTAS DE GESTIÓN ADMINISTRATIVA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Fecha de creación del ente.</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Principales cambios en su estructura.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Ejercicio fiscal.</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Consideraciones fiscales del ente: revelar el tipo de contribuciones que esté obligado a pagar o retener.</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Si se ha observado la normatividad emitida por el CONAC y las disposiciones legales aplicables.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Postulados básicos.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 xml:space="preserve">Presentar los últimos estados financieros con la normatividad anteriormente utilizada con las nuevas políticas para fines de comparación en la transición a la base </w:t>
      </w:r>
      <w:proofErr w:type="gramStart"/>
      <w:r w:rsidRPr="004F4558">
        <w:rPr>
          <w:sz w:val="22"/>
          <w:szCs w:val="22"/>
          <w:lang w:val="es-MX"/>
        </w:rPr>
        <w:t>devengado</w:t>
      </w:r>
      <w:proofErr w:type="gramEnd"/>
      <w:r w:rsidRPr="004F4558">
        <w:rPr>
          <w:sz w:val="22"/>
          <w:szCs w:val="22"/>
          <w:lang w:val="es-MX"/>
        </w:rPr>
        <w:t>.</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Método de valuación de la inversión en acciones de Compañías subsidiarias no consolidadas y asociadas.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Sistema y método de valuación de inventarios y costo de lo vendido.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Beneficios a empleados: revelar el cálculo de la reserva actuarial, valor presente de los ingresos esperados comparado con el valor presente de la estimación de gastos tanto de los beneficiarios actuales como futuros.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Provisiones: objetivo de su creación, monto y plazo.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Reservas: objetivo de su creación, monto y plazo.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Cambios en políticas contables y corrección de errores junto con la revelación de los efectos que se tendrá en la información financiera del ente público, ya sea retrospectivos o prospectivos.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lastRenderedPageBreak/>
        <w:t>i)</w:t>
      </w:r>
      <w:r w:rsidRPr="004F4558">
        <w:rPr>
          <w:sz w:val="22"/>
          <w:szCs w:val="22"/>
          <w:lang w:val="es-MX"/>
        </w:rPr>
        <w:tab/>
        <w:t>Reclasificaciones: se deben revelar todos aquellos movimientos entre cuentas por efectos de cambios en los tipos de operaciones.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8. Reporte Analítico del Activo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Debe mostrar la siguiente información:</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Vida útil o porcentajes de depreciación, deterioro o amortización utilizados en los diferentes tipos de activos.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lastRenderedPageBreak/>
        <w:t>c)</w:t>
      </w:r>
      <w:r w:rsidRPr="004F4558">
        <w:rPr>
          <w:sz w:val="22"/>
          <w:szCs w:val="22"/>
          <w:lang w:val="es-MX"/>
        </w:rPr>
        <w:tab/>
        <w:t>Inversiones en empresas de participación mayoritaria.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deberá informar:</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12. Calificaciones otorgadas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de: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lastRenderedPageBreak/>
        <w:t>a)</w:t>
      </w:r>
      <w:r w:rsidRPr="004F4558">
        <w:rPr>
          <w:sz w:val="22"/>
          <w:szCs w:val="22"/>
          <w:lang w:val="es-MX"/>
        </w:rPr>
        <w:tab/>
        <w:t>Principales Políticas de control interno.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debe establecer por escrito que no existen partes relacionadas que pudieran ejercer influencia significativa sobre la toma de decisiones financieras y operativas.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934063" w:rsidRDefault="00934063"/>
    <w:sectPr w:rsidR="009340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58" w:rsidRDefault="00AC6D58" w:rsidP="00172899">
      <w:pPr>
        <w:spacing w:after="0" w:line="240" w:lineRule="auto"/>
      </w:pPr>
      <w:r>
        <w:separator/>
      </w:r>
    </w:p>
  </w:endnote>
  <w:endnote w:type="continuationSeparator" w:id="0">
    <w:p w:rsidR="00AC6D58" w:rsidRDefault="00AC6D58" w:rsidP="0017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58" w:rsidRDefault="00AC6D58" w:rsidP="00172899">
      <w:pPr>
        <w:spacing w:after="0" w:line="240" w:lineRule="auto"/>
      </w:pPr>
      <w:r>
        <w:separator/>
      </w:r>
    </w:p>
  </w:footnote>
  <w:footnote w:type="continuationSeparator" w:id="0">
    <w:p w:rsidR="00AC6D58" w:rsidRDefault="00AC6D58" w:rsidP="00172899">
      <w:pPr>
        <w:spacing w:after="0" w:line="240" w:lineRule="auto"/>
      </w:pPr>
      <w:r>
        <w:continuationSeparator/>
      </w:r>
    </w:p>
  </w:footnote>
  <w:footnote w:id="1">
    <w:p w:rsidR="00172899" w:rsidRPr="00802693" w:rsidRDefault="00172899" w:rsidP="00172899">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A95"/>
    <w:multiLevelType w:val="hybridMultilevel"/>
    <w:tmpl w:val="CACED364"/>
    <w:lvl w:ilvl="0" w:tplc="4612B5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3225BB"/>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2871BF"/>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860D4C"/>
    <w:multiLevelType w:val="hybridMultilevel"/>
    <w:tmpl w:val="966291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BA762C"/>
    <w:multiLevelType w:val="hybridMultilevel"/>
    <w:tmpl w:val="C062F1E2"/>
    <w:lvl w:ilvl="0" w:tplc="208E5E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8600A6"/>
    <w:multiLevelType w:val="hybridMultilevel"/>
    <w:tmpl w:val="3D7075A8"/>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1A29B6"/>
    <w:multiLevelType w:val="hybridMultilevel"/>
    <w:tmpl w:val="C60E95DE"/>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7">
    <w:nsid w:val="1E6A11D7"/>
    <w:multiLevelType w:val="hybridMultilevel"/>
    <w:tmpl w:val="357058BE"/>
    <w:lvl w:ilvl="0" w:tplc="CA74461E">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2E6D79"/>
    <w:multiLevelType w:val="hybridMultilevel"/>
    <w:tmpl w:val="0ABE9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672425"/>
    <w:multiLevelType w:val="hybridMultilevel"/>
    <w:tmpl w:val="DBC49F8C"/>
    <w:lvl w:ilvl="0" w:tplc="5AEC99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D22DA1"/>
    <w:multiLevelType w:val="hybridMultilevel"/>
    <w:tmpl w:val="38D4A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103A3A"/>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26086F"/>
    <w:multiLevelType w:val="hybridMultilevel"/>
    <w:tmpl w:val="C1B24162"/>
    <w:lvl w:ilvl="0" w:tplc="CA7446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526540"/>
    <w:multiLevelType w:val="hybridMultilevel"/>
    <w:tmpl w:val="3266D158"/>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4">
    <w:nsid w:val="376976C9"/>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BA27BE5"/>
    <w:multiLevelType w:val="hybridMultilevel"/>
    <w:tmpl w:val="6E3EA3A8"/>
    <w:lvl w:ilvl="0" w:tplc="032AD0F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CC5A33"/>
    <w:multiLevelType w:val="hybridMultilevel"/>
    <w:tmpl w:val="4490C24E"/>
    <w:lvl w:ilvl="0" w:tplc="A5123C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8F251A"/>
    <w:multiLevelType w:val="hybridMultilevel"/>
    <w:tmpl w:val="9AA05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B531EB"/>
    <w:multiLevelType w:val="hybridMultilevel"/>
    <w:tmpl w:val="236A1610"/>
    <w:lvl w:ilvl="0" w:tplc="C82480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262EB3"/>
    <w:multiLevelType w:val="hybridMultilevel"/>
    <w:tmpl w:val="70F25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CDF53CE"/>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BE611B"/>
    <w:multiLevelType w:val="hybridMultilevel"/>
    <w:tmpl w:val="477CB170"/>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4D4416"/>
    <w:multiLevelType w:val="hybridMultilevel"/>
    <w:tmpl w:val="72000EEA"/>
    <w:lvl w:ilvl="0" w:tplc="FC001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2A48B0"/>
    <w:multiLevelType w:val="hybridMultilevel"/>
    <w:tmpl w:val="091CF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9850D9"/>
    <w:multiLevelType w:val="hybridMultilevel"/>
    <w:tmpl w:val="E9120C06"/>
    <w:lvl w:ilvl="0" w:tplc="B28641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AF321B"/>
    <w:multiLevelType w:val="hybridMultilevel"/>
    <w:tmpl w:val="F4A06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B768A5"/>
    <w:multiLevelType w:val="hybridMultilevel"/>
    <w:tmpl w:val="B3F8E7E0"/>
    <w:lvl w:ilvl="0" w:tplc="FC001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621E1A"/>
    <w:multiLevelType w:val="hybridMultilevel"/>
    <w:tmpl w:val="F8825316"/>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DC61D5"/>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106C09"/>
    <w:multiLevelType w:val="hybridMultilevel"/>
    <w:tmpl w:val="63A0812E"/>
    <w:lvl w:ilvl="0" w:tplc="29724E26">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A455F4"/>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C4C74B4"/>
    <w:multiLevelType w:val="hybridMultilevel"/>
    <w:tmpl w:val="D1C6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2B43E85"/>
    <w:multiLevelType w:val="hybridMultilevel"/>
    <w:tmpl w:val="8C261E04"/>
    <w:lvl w:ilvl="0" w:tplc="FC0015B8">
      <w:start w:val="1"/>
      <w:numFmt w:val="upp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3B0D63"/>
    <w:multiLevelType w:val="hybridMultilevel"/>
    <w:tmpl w:val="74823FE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4">
    <w:nsid w:val="795763CD"/>
    <w:multiLevelType w:val="hybridMultilevel"/>
    <w:tmpl w:val="25745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A42FA6"/>
    <w:multiLevelType w:val="hybridMultilevel"/>
    <w:tmpl w:val="82F8D32C"/>
    <w:lvl w:ilvl="0" w:tplc="C96850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4"/>
  </w:num>
  <w:num w:numId="3">
    <w:abstractNumId w:val="19"/>
  </w:num>
  <w:num w:numId="4">
    <w:abstractNumId w:val="10"/>
  </w:num>
  <w:num w:numId="5">
    <w:abstractNumId w:val="3"/>
  </w:num>
  <w:num w:numId="6">
    <w:abstractNumId w:val="31"/>
  </w:num>
  <w:num w:numId="7">
    <w:abstractNumId w:val="12"/>
  </w:num>
  <w:num w:numId="8">
    <w:abstractNumId w:val="9"/>
  </w:num>
  <w:num w:numId="9">
    <w:abstractNumId w:val="4"/>
  </w:num>
  <w:num w:numId="10">
    <w:abstractNumId w:val="16"/>
  </w:num>
  <w:num w:numId="11">
    <w:abstractNumId w:val="35"/>
  </w:num>
  <w:num w:numId="12">
    <w:abstractNumId w:val="0"/>
  </w:num>
  <w:num w:numId="13">
    <w:abstractNumId w:val="18"/>
  </w:num>
  <w:num w:numId="14">
    <w:abstractNumId w:val="24"/>
  </w:num>
  <w:num w:numId="15">
    <w:abstractNumId w:val="26"/>
  </w:num>
  <w:num w:numId="16">
    <w:abstractNumId w:val="22"/>
  </w:num>
  <w:num w:numId="17">
    <w:abstractNumId w:val="32"/>
  </w:num>
  <w:num w:numId="18">
    <w:abstractNumId w:val="30"/>
  </w:num>
  <w:num w:numId="19">
    <w:abstractNumId w:val="13"/>
  </w:num>
  <w:num w:numId="20">
    <w:abstractNumId w:val="6"/>
  </w:num>
  <w:num w:numId="21">
    <w:abstractNumId w:val="33"/>
  </w:num>
  <w:num w:numId="22">
    <w:abstractNumId w:val="28"/>
  </w:num>
  <w:num w:numId="23">
    <w:abstractNumId w:val="23"/>
  </w:num>
  <w:num w:numId="24">
    <w:abstractNumId w:val="8"/>
  </w:num>
  <w:num w:numId="25">
    <w:abstractNumId w:val="17"/>
  </w:num>
  <w:num w:numId="26">
    <w:abstractNumId w:val="15"/>
  </w:num>
  <w:num w:numId="27">
    <w:abstractNumId w:val="11"/>
  </w:num>
  <w:num w:numId="28">
    <w:abstractNumId w:val="20"/>
  </w:num>
  <w:num w:numId="29">
    <w:abstractNumId w:val="7"/>
  </w:num>
  <w:num w:numId="30">
    <w:abstractNumId w:val="21"/>
  </w:num>
  <w:num w:numId="31">
    <w:abstractNumId w:val="5"/>
  </w:num>
  <w:num w:numId="32">
    <w:abstractNumId w:val="27"/>
  </w:num>
  <w:num w:numId="33">
    <w:abstractNumId w:val="29"/>
  </w:num>
  <w:num w:numId="34">
    <w:abstractNumId w:val="1"/>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99"/>
    <w:rsid w:val="00172899"/>
    <w:rsid w:val="00934063"/>
    <w:rsid w:val="00AC6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9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2899"/>
    <w:pPr>
      <w:spacing w:after="0" w:line="240" w:lineRule="auto"/>
      <w:ind w:left="720"/>
      <w:contextualSpacing/>
      <w:jc w:val="center"/>
    </w:pPr>
    <w:rPr>
      <w:rFonts w:ascii="Calibri" w:eastAsia="Calibri" w:hAnsi="Calibri" w:cs="Times New Roman"/>
    </w:rPr>
  </w:style>
  <w:style w:type="paragraph" w:customStyle="1" w:styleId="Default">
    <w:name w:val="Default"/>
    <w:rsid w:val="00172899"/>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172899"/>
    <w:rPr>
      <w:sz w:val="16"/>
      <w:szCs w:val="16"/>
    </w:rPr>
  </w:style>
  <w:style w:type="paragraph" w:styleId="Textocomentario">
    <w:name w:val="annotation text"/>
    <w:basedOn w:val="Normal"/>
    <w:link w:val="TextocomentarioCar"/>
    <w:uiPriority w:val="99"/>
    <w:semiHidden/>
    <w:unhideWhenUsed/>
    <w:rsid w:val="001728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2899"/>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72899"/>
    <w:rPr>
      <w:b/>
      <w:bCs/>
    </w:rPr>
  </w:style>
  <w:style w:type="character" w:customStyle="1" w:styleId="AsuntodelcomentarioCar">
    <w:name w:val="Asunto del comentario Car"/>
    <w:basedOn w:val="TextocomentarioCar"/>
    <w:link w:val="Asuntodelcomentario"/>
    <w:uiPriority w:val="99"/>
    <w:semiHidden/>
    <w:rsid w:val="00172899"/>
    <w:rPr>
      <w:rFonts w:eastAsiaTheme="minorEastAsia"/>
      <w:b/>
      <w:bCs/>
      <w:sz w:val="20"/>
      <w:szCs w:val="20"/>
      <w:lang w:eastAsia="es-MX"/>
    </w:rPr>
  </w:style>
  <w:style w:type="paragraph" w:styleId="Textodeglobo">
    <w:name w:val="Balloon Text"/>
    <w:basedOn w:val="Normal"/>
    <w:link w:val="TextodegloboCar"/>
    <w:uiPriority w:val="99"/>
    <w:semiHidden/>
    <w:unhideWhenUsed/>
    <w:rsid w:val="00172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899"/>
    <w:rPr>
      <w:rFonts w:ascii="Tahoma" w:eastAsiaTheme="minorEastAsia" w:hAnsi="Tahoma" w:cs="Tahoma"/>
      <w:sz w:val="16"/>
      <w:szCs w:val="16"/>
      <w:lang w:eastAsia="es-MX"/>
    </w:rPr>
  </w:style>
  <w:style w:type="paragraph" w:styleId="Textosinformato">
    <w:name w:val="Plain Text"/>
    <w:basedOn w:val="Normal"/>
    <w:link w:val="TextosinformatoCar"/>
    <w:uiPriority w:val="99"/>
    <w:unhideWhenUsed/>
    <w:rsid w:val="00172899"/>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172899"/>
    <w:rPr>
      <w:rFonts w:ascii="Consolas" w:eastAsia="Times New Roman" w:hAnsi="Consolas" w:cs="Times New Roman"/>
      <w:sz w:val="21"/>
      <w:szCs w:val="21"/>
      <w:lang w:eastAsia="es-ES"/>
    </w:rPr>
  </w:style>
  <w:style w:type="paragraph" w:customStyle="1" w:styleId="Texto">
    <w:name w:val="Texto"/>
    <w:basedOn w:val="Normal"/>
    <w:link w:val="TextoCar"/>
    <w:qFormat/>
    <w:rsid w:val="0017289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72899"/>
    <w:rPr>
      <w:rFonts w:ascii="Arial" w:eastAsia="Times New Roman" w:hAnsi="Arial" w:cs="Arial"/>
      <w:sz w:val="18"/>
      <w:szCs w:val="20"/>
      <w:lang w:val="es-ES" w:eastAsia="es-ES"/>
    </w:rPr>
  </w:style>
  <w:style w:type="paragraph" w:customStyle="1" w:styleId="ROMANOS">
    <w:name w:val="ROMANOS"/>
    <w:basedOn w:val="Normal"/>
    <w:link w:val="ROMANOSCar"/>
    <w:rsid w:val="00172899"/>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72899"/>
    <w:rPr>
      <w:rFonts w:ascii="Arial" w:eastAsia="Times New Roman" w:hAnsi="Arial" w:cs="Arial"/>
      <w:sz w:val="18"/>
      <w:szCs w:val="18"/>
      <w:lang w:val="es-ES" w:eastAsia="es-ES"/>
    </w:rPr>
  </w:style>
  <w:style w:type="character" w:styleId="Refdenotaalpie">
    <w:name w:val="footnote reference"/>
    <w:uiPriority w:val="99"/>
    <w:rsid w:val="00172899"/>
    <w:rPr>
      <w:vertAlign w:val="superscript"/>
    </w:rPr>
  </w:style>
  <w:style w:type="paragraph" w:styleId="Encabezado">
    <w:name w:val="header"/>
    <w:basedOn w:val="Normal"/>
    <w:link w:val="EncabezadoCar"/>
    <w:uiPriority w:val="99"/>
    <w:unhideWhenUsed/>
    <w:rsid w:val="00172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899"/>
    <w:rPr>
      <w:rFonts w:eastAsiaTheme="minorEastAsia"/>
      <w:lang w:eastAsia="es-MX"/>
    </w:rPr>
  </w:style>
  <w:style w:type="paragraph" w:styleId="Piedepgina">
    <w:name w:val="footer"/>
    <w:basedOn w:val="Normal"/>
    <w:link w:val="PiedepginaCar"/>
    <w:uiPriority w:val="99"/>
    <w:unhideWhenUsed/>
    <w:rsid w:val="00172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899"/>
    <w:rPr>
      <w:rFonts w:eastAsiaTheme="minorEastAsia"/>
      <w:lang w:eastAsia="es-MX"/>
    </w:rPr>
  </w:style>
  <w:style w:type="table" w:styleId="Tablaconcuadrcula">
    <w:name w:val="Table Grid"/>
    <w:basedOn w:val="Tablanormal"/>
    <w:uiPriority w:val="39"/>
    <w:rsid w:val="00172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2899"/>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9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2899"/>
    <w:pPr>
      <w:spacing w:after="0" w:line="240" w:lineRule="auto"/>
      <w:ind w:left="720"/>
      <w:contextualSpacing/>
      <w:jc w:val="center"/>
    </w:pPr>
    <w:rPr>
      <w:rFonts w:ascii="Calibri" w:eastAsia="Calibri" w:hAnsi="Calibri" w:cs="Times New Roman"/>
    </w:rPr>
  </w:style>
  <w:style w:type="paragraph" w:customStyle="1" w:styleId="Default">
    <w:name w:val="Default"/>
    <w:rsid w:val="00172899"/>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172899"/>
    <w:rPr>
      <w:sz w:val="16"/>
      <w:szCs w:val="16"/>
    </w:rPr>
  </w:style>
  <w:style w:type="paragraph" w:styleId="Textocomentario">
    <w:name w:val="annotation text"/>
    <w:basedOn w:val="Normal"/>
    <w:link w:val="TextocomentarioCar"/>
    <w:uiPriority w:val="99"/>
    <w:semiHidden/>
    <w:unhideWhenUsed/>
    <w:rsid w:val="001728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2899"/>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72899"/>
    <w:rPr>
      <w:b/>
      <w:bCs/>
    </w:rPr>
  </w:style>
  <w:style w:type="character" w:customStyle="1" w:styleId="AsuntodelcomentarioCar">
    <w:name w:val="Asunto del comentario Car"/>
    <w:basedOn w:val="TextocomentarioCar"/>
    <w:link w:val="Asuntodelcomentario"/>
    <w:uiPriority w:val="99"/>
    <w:semiHidden/>
    <w:rsid w:val="00172899"/>
    <w:rPr>
      <w:rFonts w:eastAsiaTheme="minorEastAsia"/>
      <w:b/>
      <w:bCs/>
      <w:sz w:val="20"/>
      <w:szCs w:val="20"/>
      <w:lang w:eastAsia="es-MX"/>
    </w:rPr>
  </w:style>
  <w:style w:type="paragraph" w:styleId="Textodeglobo">
    <w:name w:val="Balloon Text"/>
    <w:basedOn w:val="Normal"/>
    <w:link w:val="TextodegloboCar"/>
    <w:uiPriority w:val="99"/>
    <w:semiHidden/>
    <w:unhideWhenUsed/>
    <w:rsid w:val="00172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899"/>
    <w:rPr>
      <w:rFonts w:ascii="Tahoma" w:eastAsiaTheme="minorEastAsia" w:hAnsi="Tahoma" w:cs="Tahoma"/>
      <w:sz w:val="16"/>
      <w:szCs w:val="16"/>
      <w:lang w:eastAsia="es-MX"/>
    </w:rPr>
  </w:style>
  <w:style w:type="paragraph" w:styleId="Textosinformato">
    <w:name w:val="Plain Text"/>
    <w:basedOn w:val="Normal"/>
    <w:link w:val="TextosinformatoCar"/>
    <w:uiPriority w:val="99"/>
    <w:unhideWhenUsed/>
    <w:rsid w:val="00172899"/>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172899"/>
    <w:rPr>
      <w:rFonts w:ascii="Consolas" w:eastAsia="Times New Roman" w:hAnsi="Consolas" w:cs="Times New Roman"/>
      <w:sz w:val="21"/>
      <w:szCs w:val="21"/>
      <w:lang w:eastAsia="es-ES"/>
    </w:rPr>
  </w:style>
  <w:style w:type="paragraph" w:customStyle="1" w:styleId="Texto">
    <w:name w:val="Texto"/>
    <w:basedOn w:val="Normal"/>
    <w:link w:val="TextoCar"/>
    <w:qFormat/>
    <w:rsid w:val="0017289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72899"/>
    <w:rPr>
      <w:rFonts w:ascii="Arial" w:eastAsia="Times New Roman" w:hAnsi="Arial" w:cs="Arial"/>
      <w:sz w:val="18"/>
      <w:szCs w:val="20"/>
      <w:lang w:val="es-ES" w:eastAsia="es-ES"/>
    </w:rPr>
  </w:style>
  <w:style w:type="paragraph" w:customStyle="1" w:styleId="ROMANOS">
    <w:name w:val="ROMANOS"/>
    <w:basedOn w:val="Normal"/>
    <w:link w:val="ROMANOSCar"/>
    <w:rsid w:val="00172899"/>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72899"/>
    <w:rPr>
      <w:rFonts w:ascii="Arial" w:eastAsia="Times New Roman" w:hAnsi="Arial" w:cs="Arial"/>
      <w:sz w:val="18"/>
      <w:szCs w:val="18"/>
      <w:lang w:val="es-ES" w:eastAsia="es-ES"/>
    </w:rPr>
  </w:style>
  <w:style w:type="character" w:styleId="Refdenotaalpie">
    <w:name w:val="footnote reference"/>
    <w:uiPriority w:val="99"/>
    <w:rsid w:val="00172899"/>
    <w:rPr>
      <w:vertAlign w:val="superscript"/>
    </w:rPr>
  </w:style>
  <w:style w:type="paragraph" w:styleId="Encabezado">
    <w:name w:val="header"/>
    <w:basedOn w:val="Normal"/>
    <w:link w:val="EncabezadoCar"/>
    <w:uiPriority w:val="99"/>
    <w:unhideWhenUsed/>
    <w:rsid w:val="00172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899"/>
    <w:rPr>
      <w:rFonts w:eastAsiaTheme="minorEastAsia"/>
      <w:lang w:eastAsia="es-MX"/>
    </w:rPr>
  </w:style>
  <w:style w:type="paragraph" w:styleId="Piedepgina">
    <w:name w:val="footer"/>
    <w:basedOn w:val="Normal"/>
    <w:link w:val="PiedepginaCar"/>
    <w:uiPriority w:val="99"/>
    <w:unhideWhenUsed/>
    <w:rsid w:val="00172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899"/>
    <w:rPr>
      <w:rFonts w:eastAsiaTheme="minorEastAsia"/>
      <w:lang w:eastAsia="es-MX"/>
    </w:rPr>
  </w:style>
  <w:style w:type="table" w:styleId="Tablaconcuadrcula">
    <w:name w:val="Table Grid"/>
    <w:basedOn w:val="Tablanormal"/>
    <w:uiPriority w:val="39"/>
    <w:rsid w:val="00172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289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5038</Words>
  <Characters>27711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ASEC</cp:lastModifiedBy>
  <cp:revision>1</cp:revision>
  <dcterms:created xsi:type="dcterms:W3CDTF">2015-08-31T21:29:00Z</dcterms:created>
  <dcterms:modified xsi:type="dcterms:W3CDTF">2015-08-31T21:51:00Z</dcterms:modified>
</cp:coreProperties>
</file>