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B4" w:rsidRPr="002276A8" w:rsidRDefault="002276A8" w:rsidP="002276A8">
      <w:pPr>
        <w:spacing w:after="0" w:line="240" w:lineRule="auto"/>
        <w:jc w:val="center"/>
        <w:rPr>
          <w:b/>
          <w:i/>
          <w:sz w:val="40"/>
          <w:szCs w:val="40"/>
        </w:rPr>
      </w:pPr>
      <w:bookmarkStart w:id="0" w:name="_GoBack"/>
      <w:bookmarkEnd w:id="0"/>
      <w:r w:rsidRPr="002276A8">
        <w:rPr>
          <w:b/>
          <w:i/>
          <w:sz w:val="40"/>
          <w:szCs w:val="40"/>
        </w:rPr>
        <w:t>ARTEAGA, COAHUILA</w:t>
      </w:r>
    </w:p>
    <w:p w:rsidR="002276A8" w:rsidRPr="002276A8" w:rsidRDefault="002276A8" w:rsidP="002276A8">
      <w:pPr>
        <w:spacing w:after="0" w:line="240" w:lineRule="auto"/>
        <w:jc w:val="center"/>
        <w:rPr>
          <w:b/>
          <w:i/>
        </w:rPr>
      </w:pPr>
      <w:r w:rsidRPr="002276A8">
        <w:rPr>
          <w:b/>
          <w:i/>
        </w:rPr>
        <w:t>RESULTADO DE LA EVALUACION DE DESEMPEÑO A LOS PROGRAMAS MUNICIPALES</w:t>
      </w:r>
    </w:p>
    <w:p w:rsidR="002276A8" w:rsidRDefault="002276A8" w:rsidP="002276A8">
      <w:pPr>
        <w:spacing w:after="0" w:line="240" w:lineRule="auto"/>
        <w:jc w:val="center"/>
        <w:rPr>
          <w:b/>
          <w:i/>
        </w:rPr>
      </w:pPr>
      <w:r w:rsidRPr="002276A8">
        <w:rPr>
          <w:b/>
          <w:i/>
        </w:rPr>
        <w:t>PRIMER TRIMESTRE 2016</w:t>
      </w:r>
      <w:r>
        <w:rPr>
          <w:b/>
          <w:i/>
        </w:rPr>
        <w:t>.</w:t>
      </w:r>
    </w:p>
    <w:p w:rsidR="002276A8" w:rsidRDefault="002276A8" w:rsidP="002276A8">
      <w:pPr>
        <w:spacing w:after="0" w:line="240" w:lineRule="auto"/>
        <w:jc w:val="center"/>
        <w:rPr>
          <w:b/>
          <w:i/>
        </w:rPr>
      </w:pPr>
    </w:p>
    <w:p w:rsidR="00D60495" w:rsidRDefault="00D60495" w:rsidP="004E37D6">
      <w:pPr>
        <w:spacing w:after="0" w:line="240" w:lineRule="auto"/>
        <w:jc w:val="both"/>
        <w:rPr>
          <w:b/>
          <w:i/>
        </w:rPr>
      </w:pPr>
    </w:p>
    <w:p w:rsidR="00D60495" w:rsidRDefault="00D60495" w:rsidP="004E37D6">
      <w:pPr>
        <w:spacing w:after="0" w:line="240" w:lineRule="auto"/>
        <w:jc w:val="both"/>
      </w:pPr>
      <w:r w:rsidRPr="00D60495">
        <w:t>Los servicios que el Municipio de Arteaga, Coahuila actualmente ofrece, además de aquellos que están mencionados en el artículo que le antecede, a través de sus programas municipales, son los siguientes:</w:t>
      </w:r>
    </w:p>
    <w:p w:rsidR="00D60495" w:rsidRDefault="00D60495" w:rsidP="004E37D6">
      <w:pPr>
        <w:spacing w:after="0" w:line="240" w:lineRule="auto"/>
        <w:jc w:val="both"/>
      </w:pPr>
    </w:p>
    <w:p w:rsidR="00D60495" w:rsidRPr="00D60495" w:rsidRDefault="00D60495" w:rsidP="00D60495">
      <w:pPr>
        <w:pStyle w:val="Prrafodelista"/>
        <w:numPr>
          <w:ilvl w:val="0"/>
          <w:numId w:val="3"/>
        </w:numPr>
        <w:spacing w:after="0" w:line="240" w:lineRule="auto"/>
        <w:jc w:val="both"/>
      </w:pPr>
      <w:r w:rsidRPr="00D60495">
        <w:t>Programa de coordinación y colaboración social, económica y administrativa: tiene como objetivo Crear vínculos de comunicación con diversas instancias, documentando acuerdos y acciones de coordinación, de ser necesario se deberá contar con consejos de administración social. Para llevar a cabo estas funciones siempre será importante vigilar y dotar de patrimonio municipal adecuado a todas las áreas de función municipal. Para ello se ponen en marcha 8 proyectos consistentes en la Planeación de la Gestión Pública por el Presidente Municipal; Planeación de la Gestión Pública por las Comisiones de Cabildo; Gestión Publica en Bienes Patrimoniales; Comunicación de Programas de la Gestión Pública; Diagnósticos Municipales de Empleo y Capacitación para el Trabajo; Comités comunitarios de participación social para ayuda en la gestión pública; Planeación de Plantilla de Pensionados Municipales y Administración Eficiente Y Ordenada.</w:t>
      </w:r>
    </w:p>
    <w:p w:rsidR="00D60495" w:rsidRPr="00D60495" w:rsidRDefault="00D60495" w:rsidP="00D60495">
      <w:pPr>
        <w:pStyle w:val="Prrafodelista"/>
        <w:numPr>
          <w:ilvl w:val="0"/>
          <w:numId w:val="3"/>
        </w:numPr>
        <w:spacing w:after="0" w:line="240" w:lineRule="auto"/>
        <w:jc w:val="both"/>
      </w:pPr>
      <w:r w:rsidRPr="00D60495">
        <w:t xml:space="preserve">Programa de desarrollo integral: Consiste en Trabajar coordinadamente con los ciudadanos </w:t>
      </w:r>
      <w:proofErr w:type="spellStart"/>
      <w:r w:rsidRPr="00D60495">
        <w:t>arteaguenses</w:t>
      </w:r>
      <w:proofErr w:type="spellEnd"/>
      <w:r w:rsidRPr="00D60495">
        <w:t xml:space="preserve"> ayudando y capacitando a personas con capacidades diferentes, implementando acciones para la mediación familiar, disminuyendo riesgos en grupos vulnerables e implementando acciones de atención integral y desarrollo de los niños, jóvenes, familias y adultos mayores. Para ello se ponen en marcha 2 proyectos consistentes en Atención Integral Para las Personas Jóvenes e Igualdad e Inclusión Social, cabe destacar que estos dos proyectos son coordinados a través del DIF Municipal.</w:t>
      </w:r>
    </w:p>
    <w:p w:rsidR="00D60495" w:rsidRPr="00D60495" w:rsidRDefault="00D60495" w:rsidP="00D60495">
      <w:pPr>
        <w:pStyle w:val="Prrafodelista"/>
        <w:numPr>
          <w:ilvl w:val="0"/>
          <w:numId w:val="3"/>
        </w:numPr>
        <w:spacing w:after="0" w:line="240" w:lineRule="auto"/>
        <w:jc w:val="both"/>
      </w:pPr>
      <w:r w:rsidRPr="00D60495">
        <w:t xml:space="preserve">Programa de Desarrollo Rural Ordenado Y Dinámico: Tiene como objetivo Implementar acciones de desarrollo al sector agropecuario se pretende fomentar cadenas productivas y vinculaciones con mercados ajenos al municipio. Para ello se ponen en marcha 2 proyectos Desarrollo Rural Ordenado Y Dinámico e Innovación Gubernamental. </w:t>
      </w:r>
    </w:p>
    <w:p w:rsidR="00D60495" w:rsidRPr="00D60495" w:rsidRDefault="00D60495" w:rsidP="00D60495">
      <w:pPr>
        <w:pStyle w:val="Prrafodelista"/>
        <w:numPr>
          <w:ilvl w:val="0"/>
          <w:numId w:val="3"/>
        </w:numPr>
        <w:spacing w:after="0" w:line="240" w:lineRule="auto"/>
        <w:jc w:val="both"/>
      </w:pPr>
      <w:r w:rsidRPr="00D60495">
        <w:t>Programa de Estímulos y Crecimiento Económico: Se pretende Contar con sistemas propios de recaudación estableciendo vínculos contribuyentes-municipio, evolucionando los ingresos municipales, impulsando actividades turísticas, promoviendo la transferencia de tecnologías a sectores sociales y gestionando acciones que incremente la economía municipal con la finalidad de atender a la población socialmente activa en materia económica llevando a cabo acciones que contribuirán a fortalecer a la sociedad en abastecimiento de productos básicos, mejores condiciones de vida  y combate a la pobreza extrema. Para ello se ponen en marcha 9 proyectos Ciudades de Calidad Gestionando Servicios Básicos; Implementación de Programas para el Empleo; Un Nuevo Modelo de Asistencia Social Abastecimiento de Productos Básicos; Aprovechamiento del Potencial Turístico; Fomento de la Inversión Para un Crecimiento Sostenido; Fomento de la Micro, Pequeña Y Mediana Empresa; Manejo Responsable de las Finanzas Públicas; Manejo Responsable de las Finanzas Publicas  de Ingresos y SIIF y Sistemas de Inspección y Cobranza.</w:t>
      </w:r>
    </w:p>
    <w:p w:rsidR="00D60495" w:rsidRPr="00D60495" w:rsidRDefault="00D60495" w:rsidP="00D60495">
      <w:pPr>
        <w:pStyle w:val="Prrafodelista"/>
        <w:numPr>
          <w:ilvl w:val="0"/>
          <w:numId w:val="3"/>
        </w:numPr>
        <w:spacing w:after="0" w:line="240" w:lineRule="auto"/>
        <w:jc w:val="both"/>
      </w:pPr>
      <w:r w:rsidRPr="00D60495">
        <w:t xml:space="preserve">Programa de Infraestructura Municipal: consiste en llevar a cabo obras públicas en nuestras comunidades a través de la gestión de recursos federales y recursos municipales </w:t>
      </w:r>
      <w:r w:rsidRPr="00D60495">
        <w:lastRenderedPageBreak/>
        <w:t>a través de nuestros Infraestructura para el Desarrollo e Infraestructura Para el Desarrollo Gestionando Aportaciones Federales.</w:t>
      </w:r>
    </w:p>
    <w:p w:rsidR="00D60495" w:rsidRPr="00D60495" w:rsidRDefault="00D60495" w:rsidP="00D60495">
      <w:pPr>
        <w:pStyle w:val="Prrafodelista"/>
        <w:numPr>
          <w:ilvl w:val="0"/>
          <w:numId w:val="3"/>
        </w:numPr>
        <w:spacing w:after="0" w:line="240" w:lineRule="auto"/>
        <w:jc w:val="both"/>
      </w:pPr>
      <w:r w:rsidRPr="00D60495">
        <w:t>Programa de Mejora Continua y Embellecimiento Urbano: Contamos con acciones de mejora continua que puedan ser medidos y difundidos contemplando en todo momento con un embellecimiento municipal, fortaleciendo la cobertura en servicios de alumbrado, servicios de limpia, servicios de recolección y disposición de basura. Para ello se pusieron en marcha 4 proyectos Embellecimiento Urbano servicio Limpia y Recolección Basura; Recursos Humanos Profesionales Y Comprometidos; Mejora Continua Asistencia Social a la Población y Mejora Continua Publicaciones Oficiales de la Gestión Pública.</w:t>
      </w:r>
    </w:p>
    <w:p w:rsidR="00D60495" w:rsidRPr="00D60495" w:rsidRDefault="00D60495" w:rsidP="00D60495">
      <w:pPr>
        <w:pStyle w:val="Prrafodelista"/>
        <w:numPr>
          <w:ilvl w:val="0"/>
          <w:numId w:val="3"/>
        </w:numPr>
        <w:spacing w:after="0" w:line="240" w:lineRule="auto"/>
        <w:jc w:val="both"/>
      </w:pPr>
      <w:r w:rsidRPr="00D60495">
        <w:t>Programa de Profesionalización; Su objetivo es formalizar los procesos internos con ayuda de tecnologías de información y políticas municipales, cumpliendo en todo momento con la legislación existente, armonizando las actividades con eficacia respecto a las metas propuestas, documentando las acciones que contribuyen a tener un mejor sistema hacendario, avance programático, ejercicio de recursos. Para ello se ponen en marcha 10 proyectos Administración Eficiente Y Ordenada con Atención al Despacho del Presidente; Tecnología Informática en la Gestión Pública; Marco Jurídico Municipal; Contraloría de la  Gestión Pública; Planeación de Gestión Pública del Ayuntamiento; Manejo Responsable de las Finanzas Publicas Hacendarias; Manejo Responsable de las Finanzas Publicas Catastrales; Recursos Humanos Profesionales Y Comprometidos; Manejo Responsable de las Finanzas Publicas de Egresos y Contabilidad y Promociones Fiscales.</w:t>
      </w:r>
    </w:p>
    <w:p w:rsidR="00D60495" w:rsidRPr="00D60495" w:rsidRDefault="00D60495" w:rsidP="00D60495">
      <w:pPr>
        <w:pStyle w:val="Prrafodelista"/>
        <w:numPr>
          <w:ilvl w:val="0"/>
          <w:numId w:val="3"/>
        </w:numPr>
        <w:spacing w:after="0" w:line="240" w:lineRule="auto"/>
        <w:jc w:val="both"/>
      </w:pPr>
      <w:r w:rsidRPr="00D60495">
        <w:t>Programa de Regularización de la Propiedad: Se pretende dar a conocer un esquema arancelario claro y transparente que atienda los cumplimientos de los ordenamientos en materia de urbanismo, planeación territorial, atención municipal de vivienda atendiendo en todo momento los requerimientos en la materia. Para ello se ponen en marcha 2 proyectos Ordenamiento Territorial y Modernización Catastral y regularización de predios.</w:t>
      </w:r>
    </w:p>
    <w:p w:rsidR="00D60495" w:rsidRPr="00D60495" w:rsidRDefault="00D60495" w:rsidP="00D60495">
      <w:pPr>
        <w:pStyle w:val="Prrafodelista"/>
        <w:numPr>
          <w:ilvl w:val="0"/>
          <w:numId w:val="3"/>
        </w:numPr>
        <w:spacing w:after="0" w:line="240" w:lineRule="auto"/>
        <w:jc w:val="both"/>
      </w:pPr>
      <w:r w:rsidRPr="00D60495">
        <w:t xml:space="preserve">Programa de Salud: La intención en este rubro es diagnosticar e implementar acciones situacionales de salud. Para ello se ponen en marcha 2 proyectos Cobertura de atención médica preventiva en Localidades y Asistencia Médica a </w:t>
      </w:r>
      <w:proofErr w:type="spellStart"/>
      <w:r w:rsidRPr="00D60495">
        <w:t>Arteaguenses</w:t>
      </w:r>
      <w:proofErr w:type="spellEnd"/>
      <w:r w:rsidRPr="00D60495">
        <w:t>.</w:t>
      </w:r>
    </w:p>
    <w:p w:rsidR="00D60495" w:rsidRPr="00D60495" w:rsidRDefault="00D60495" w:rsidP="00D60495">
      <w:pPr>
        <w:pStyle w:val="Prrafodelista"/>
        <w:numPr>
          <w:ilvl w:val="0"/>
          <w:numId w:val="3"/>
        </w:numPr>
        <w:spacing w:after="0" w:line="240" w:lineRule="auto"/>
        <w:jc w:val="both"/>
      </w:pPr>
      <w:r w:rsidRPr="00D60495">
        <w:t>Programa de Seguridad Publica: Nuestra Intención es prevenir conductas antisociales instituyendo acciones de buen funcionamiento y tránsito municipal, creando también un sistema municipal de Protección Civil y Seguridad Publica en operación continua. Para ello se implementan 5 proyectos consistentes en Integración de Seguridad Publica; Equipamiento a cuerpos Policiacos; Mantenimiento a Unidades de Seguridad; contar con Protección Civil Eficaz y Equipamiento a Protección Civil y Bomberos.</w:t>
      </w:r>
    </w:p>
    <w:p w:rsidR="00D60495" w:rsidRPr="00D60495" w:rsidRDefault="00D60495" w:rsidP="00D60495">
      <w:pPr>
        <w:pStyle w:val="Prrafodelista"/>
        <w:numPr>
          <w:ilvl w:val="0"/>
          <w:numId w:val="3"/>
        </w:numPr>
        <w:spacing w:after="0" w:line="240" w:lineRule="auto"/>
        <w:jc w:val="both"/>
      </w:pPr>
      <w:r w:rsidRPr="00D60495">
        <w:t>Programa de Transformación Ecológica: El objetivo es apoyar y fomentar la educación ambiental. Para ello se pone en marcha dos proyectos Medio Ambiente Limpieza de Plazas y Capacitación Ambiental a través de Protección Civil Eficaz.</w:t>
      </w:r>
    </w:p>
    <w:p w:rsidR="00D60495" w:rsidRPr="00D60495" w:rsidRDefault="00D60495" w:rsidP="00D60495">
      <w:pPr>
        <w:pStyle w:val="Prrafodelista"/>
        <w:numPr>
          <w:ilvl w:val="0"/>
          <w:numId w:val="3"/>
        </w:numPr>
        <w:spacing w:after="0" w:line="240" w:lineRule="auto"/>
        <w:jc w:val="both"/>
      </w:pPr>
      <w:r w:rsidRPr="00D60495">
        <w:t xml:space="preserve">Programa Deportivo y cultural: Su objetivo es fomentar, rescatar y preservar el patrimonio histórico, cultural y artístico implementando acciones de recreación y deporte a los ciudadanos </w:t>
      </w:r>
      <w:proofErr w:type="spellStart"/>
      <w:r w:rsidRPr="00D60495">
        <w:t>arteaguenses</w:t>
      </w:r>
      <w:proofErr w:type="spellEnd"/>
      <w:r w:rsidRPr="00D60495">
        <w:t>, grupos independientemente de su edad. Para ello se pone en marcha los proyectos de Diagnostico Deportivo Municipal; Acciones Deportivas Municipales; Apoyos Deportivos; Promoción Deportiva Municipal; Preservación Cultural para el Desarrollo y Eventos Culturales para el Desarrollo.</w:t>
      </w:r>
    </w:p>
    <w:p w:rsidR="00D60495" w:rsidRDefault="00D60495" w:rsidP="00D60495">
      <w:pPr>
        <w:pStyle w:val="Prrafodelista"/>
        <w:numPr>
          <w:ilvl w:val="0"/>
          <w:numId w:val="3"/>
        </w:numPr>
        <w:spacing w:after="0" w:line="240" w:lineRule="auto"/>
        <w:jc w:val="both"/>
      </w:pPr>
      <w:r w:rsidRPr="00D60495">
        <w:t>Programa de Educación: Su objetivo es Incentivar promoción de la educación contando con cobertura para atender la demanda educativa. Para ello se pone en marcha dos proyectos Educación Para La Vida Acciones de Educación y Educación Para La Vida Otorgamiento de Becas Escolares.</w:t>
      </w:r>
    </w:p>
    <w:p w:rsidR="00D60495" w:rsidRDefault="00D60495" w:rsidP="00D60495">
      <w:pPr>
        <w:spacing w:after="0" w:line="240" w:lineRule="auto"/>
        <w:jc w:val="both"/>
      </w:pPr>
    </w:p>
    <w:p w:rsidR="00D60495" w:rsidRDefault="00D60495" w:rsidP="00D60495">
      <w:pPr>
        <w:spacing w:after="0" w:line="240" w:lineRule="auto"/>
        <w:jc w:val="both"/>
      </w:pPr>
      <w:r>
        <w:lastRenderedPageBreak/>
        <w:t>Estos programas actualmente cuentan con un grado de satisfacción media, en virtud que las tareas de control interno que se encuentra directamente vinculadas a ellas no son del todo favorables debido a que</w:t>
      </w:r>
      <w:r w:rsidRPr="00D60495">
        <w:t>:</w:t>
      </w:r>
    </w:p>
    <w:p w:rsidR="00D60495" w:rsidRPr="00D60495" w:rsidRDefault="00D60495" w:rsidP="00D60495">
      <w:pPr>
        <w:spacing w:after="0" w:line="240" w:lineRule="auto"/>
        <w:jc w:val="both"/>
      </w:pPr>
    </w:p>
    <w:p w:rsidR="004E37D6" w:rsidRDefault="004E37D6" w:rsidP="004E37D6">
      <w:pPr>
        <w:spacing w:after="0" w:line="240" w:lineRule="auto"/>
        <w:jc w:val="both"/>
      </w:pPr>
      <w:r>
        <w:t>Actualmente el municipio cuenta con 1,038 tareas de control interno registradas en su padrón, el cual de acuerdo a la evaluación de desempeño municipal se determinaron que el 61% de estas acciones se encuentran en un estatus de semaforización color verde el 33% en rojo y el 5% en amarillas considerando que el color verde representa un cumplimiento optimo al 31 de marzo del 2016, el amarillo representa que se están realizando gestiones al respecto sin embargo aún no se ha podido alcanzar un nivel óptimo de desempeño y el rojo significa que no hay nada realizado para el cumplimiento de las mismas.</w:t>
      </w:r>
    </w:p>
    <w:p w:rsidR="004E37D6" w:rsidRDefault="004E37D6" w:rsidP="004E37D6">
      <w:pPr>
        <w:spacing w:after="0" w:line="240" w:lineRule="auto"/>
        <w:jc w:val="both"/>
      </w:pPr>
    </w:p>
    <w:p w:rsidR="004E37D6" w:rsidRDefault="004E37D6" w:rsidP="004E37D6">
      <w:pPr>
        <w:spacing w:after="0" w:line="240" w:lineRule="auto"/>
        <w:jc w:val="both"/>
      </w:pPr>
    </w:p>
    <w:p w:rsidR="004E37D6" w:rsidRDefault="004E37D6" w:rsidP="004E37D6">
      <w:pPr>
        <w:spacing w:after="0" w:line="240" w:lineRule="auto"/>
        <w:jc w:val="both"/>
      </w:pPr>
    </w:p>
    <w:p w:rsidR="004E37D6" w:rsidRDefault="004E37D6" w:rsidP="004E37D6">
      <w:pPr>
        <w:spacing w:after="0" w:line="240" w:lineRule="auto"/>
        <w:jc w:val="both"/>
      </w:pPr>
      <w:r>
        <w:rPr>
          <w:noProof/>
          <w:lang w:eastAsia="es-MX"/>
        </w:rPr>
        <w:drawing>
          <wp:inline distT="0" distB="0" distL="0" distR="0" wp14:anchorId="75DC4662" wp14:editId="1E852214">
            <wp:extent cx="3514725" cy="24098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37D6" w:rsidRDefault="004E37D6" w:rsidP="004E37D6">
      <w:pPr>
        <w:spacing w:after="0" w:line="240" w:lineRule="auto"/>
        <w:jc w:val="both"/>
      </w:pPr>
    </w:p>
    <w:p w:rsidR="004E37D6" w:rsidRDefault="004E37D6" w:rsidP="004E37D6">
      <w:pPr>
        <w:spacing w:after="0" w:line="240" w:lineRule="auto"/>
        <w:jc w:val="both"/>
      </w:pPr>
    </w:p>
    <w:p w:rsidR="004E37D6" w:rsidRDefault="004E37D6" w:rsidP="00D60495">
      <w:pPr>
        <w:spacing w:after="0" w:line="240" w:lineRule="auto"/>
        <w:jc w:val="both"/>
      </w:pPr>
      <w:r>
        <w:t>Considerando que de conformidad al organigrama municipal aprobado por el cabildo el municipio contempla 10 direcciones y a su vez estas tienen a su cargo 31 coordinaciones operativas, el grado de cumplimiento por cada una de estas áreas operativas de control interno se establecen en un grado de cumplimiento de la siguiente manera:</w:t>
      </w:r>
    </w:p>
    <w:p w:rsidR="004E37D6" w:rsidRDefault="004E37D6" w:rsidP="00D60495">
      <w:pPr>
        <w:spacing w:after="0" w:line="240" w:lineRule="auto"/>
        <w:jc w:val="both"/>
      </w:pPr>
    </w:p>
    <w:p w:rsidR="00D60495" w:rsidRPr="00D60495" w:rsidRDefault="00D60495" w:rsidP="00D60495">
      <w:pPr>
        <w:pStyle w:val="Prrafodelista"/>
        <w:numPr>
          <w:ilvl w:val="0"/>
          <w:numId w:val="1"/>
        </w:numPr>
        <w:spacing w:after="0" w:line="240" w:lineRule="auto"/>
        <w:jc w:val="both"/>
      </w:pPr>
      <w:r w:rsidRPr="00D60495">
        <w:t>Presidente: lleva un avance del 83% de su cumplimiento de control interno teniendo pendiente el 17% restante en color rojo.</w:t>
      </w:r>
    </w:p>
    <w:p w:rsidR="00D60495" w:rsidRPr="00D60495" w:rsidRDefault="00D60495" w:rsidP="00D60495">
      <w:pPr>
        <w:pStyle w:val="Prrafodelista"/>
        <w:numPr>
          <w:ilvl w:val="0"/>
          <w:numId w:val="1"/>
        </w:numPr>
        <w:spacing w:after="0" w:line="240" w:lineRule="auto"/>
        <w:jc w:val="both"/>
      </w:pPr>
      <w:r w:rsidRPr="00D60495">
        <w:t>Secretaria particular: cuenta con una implementación del 100% de sus acciones en estatus de semaforización color verde.</w:t>
      </w:r>
    </w:p>
    <w:p w:rsidR="00D60495" w:rsidRPr="00D60495" w:rsidRDefault="00D60495" w:rsidP="00D60495">
      <w:pPr>
        <w:pStyle w:val="Prrafodelista"/>
        <w:numPr>
          <w:ilvl w:val="0"/>
          <w:numId w:val="1"/>
        </w:numPr>
        <w:spacing w:after="0" w:line="240" w:lineRule="auto"/>
        <w:jc w:val="both"/>
      </w:pPr>
      <w:r w:rsidRPr="00D60495">
        <w:t>Cuerpo edilicio: cuenta con un 50% en color verde, 25% en color amarillo y 25% en color rojo.</w:t>
      </w:r>
    </w:p>
    <w:p w:rsidR="00D60495" w:rsidRPr="00D60495" w:rsidRDefault="00D60495" w:rsidP="00D60495">
      <w:pPr>
        <w:pStyle w:val="Prrafodelista"/>
        <w:numPr>
          <w:ilvl w:val="0"/>
          <w:numId w:val="1"/>
        </w:numPr>
        <w:spacing w:after="0" w:line="240" w:lineRule="auto"/>
        <w:jc w:val="both"/>
      </w:pPr>
      <w:r w:rsidRPr="00D60495">
        <w:t>Contraloría: cuenta con un avance al 78% quedando pendiente en color rojo el 22% restante.</w:t>
      </w:r>
    </w:p>
    <w:p w:rsidR="00D60495" w:rsidRPr="00D60495" w:rsidRDefault="00D60495" w:rsidP="00D60495">
      <w:pPr>
        <w:pStyle w:val="Prrafodelista"/>
        <w:numPr>
          <w:ilvl w:val="0"/>
          <w:numId w:val="1"/>
        </w:numPr>
        <w:spacing w:after="0" w:line="240" w:lineRule="auto"/>
        <w:jc w:val="both"/>
      </w:pPr>
      <w:r w:rsidRPr="00D60495">
        <w:t>Obras públicas: esta área contempla tanto obras públicas municipales como desarrollo urbano y está en un 36% de avance, un 6% en color amarillo y un 58% en color rojo.</w:t>
      </w:r>
    </w:p>
    <w:p w:rsidR="00D60495" w:rsidRPr="00D60495" w:rsidRDefault="00D60495" w:rsidP="00D60495">
      <w:pPr>
        <w:pStyle w:val="Prrafodelista"/>
        <w:numPr>
          <w:ilvl w:val="0"/>
          <w:numId w:val="1"/>
        </w:numPr>
        <w:spacing w:after="0" w:line="240" w:lineRule="auto"/>
        <w:jc w:val="both"/>
      </w:pPr>
      <w:r w:rsidRPr="00D60495">
        <w:t>Servicios primarios: cuenta con un avance de implementación del 56%, el 3% en color amarillo y un 41% rojo.</w:t>
      </w:r>
    </w:p>
    <w:p w:rsidR="00D60495" w:rsidRPr="00D60495" w:rsidRDefault="00D60495" w:rsidP="00D60495">
      <w:pPr>
        <w:pStyle w:val="Prrafodelista"/>
        <w:numPr>
          <w:ilvl w:val="0"/>
          <w:numId w:val="1"/>
        </w:numPr>
        <w:spacing w:after="0" w:line="240" w:lineRule="auto"/>
        <w:jc w:val="both"/>
      </w:pPr>
      <w:r w:rsidRPr="00D60495">
        <w:lastRenderedPageBreak/>
        <w:t>Archivo municipal: cuenta con el total de sus acciones contempladas en un 100% color verde.</w:t>
      </w:r>
    </w:p>
    <w:p w:rsidR="00D60495" w:rsidRPr="00D60495" w:rsidRDefault="00D60495" w:rsidP="00D60495">
      <w:pPr>
        <w:pStyle w:val="Prrafodelista"/>
        <w:numPr>
          <w:ilvl w:val="0"/>
          <w:numId w:val="1"/>
        </w:numPr>
        <w:spacing w:after="0" w:line="240" w:lineRule="auto"/>
        <w:jc w:val="both"/>
      </w:pPr>
      <w:r w:rsidRPr="00D60495">
        <w:t>Atención ciudadana: tiene un 88% de avance quedando con un 12% en color rojo.</w:t>
      </w:r>
    </w:p>
    <w:p w:rsidR="00D60495" w:rsidRPr="00D60495" w:rsidRDefault="00D60495" w:rsidP="00D60495">
      <w:pPr>
        <w:pStyle w:val="Prrafodelista"/>
        <w:numPr>
          <w:ilvl w:val="0"/>
          <w:numId w:val="1"/>
        </w:numPr>
        <w:spacing w:after="0" w:line="240" w:lineRule="auto"/>
        <w:jc w:val="both"/>
      </w:pPr>
      <w:r w:rsidRPr="00D60495">
        <w:t>Comunicación social: cuenta con un 68% de avance quedando con un 32% en color rojo.</w:t>
      </w:r>
    </w:p>
    <w:p w:rsidR="00D60495" w:rsidRDefault="00D60495" w:rsidP="00D60495">
      <w:pPr>
        <w:pStyle w:val="Prrafodelista"/>
        <w:numPr>
          <w:ilvl w:val="0"/>
          <w:numId w:val="1"/>
        </w:numPr>
        <w:spacing w:after="0" w:line="240" w:lineRule="auto"/>
        <w:jc w:val="both"/>
      </w:pPr>
      <w:r w:rsidRPr="00D60495">
        <w:t>Protección civil: cuenta con 71% de avance, un 11% en color amarillo y un 18% en color rojo.</w:t>
      </w:r>
    </w:p>
    <w:p w:rsidR="00D60495" w:rsidRPr="00D60495" w:rsidRDefault="00D60495" w:rsidP="00D60495">
      <w:pPr>
        <w:pStyle w:val="Prrafodelista"/>
        <w:numPr>
          <w:ilvl w:val="0"/>
          <w:numId w:val="1"/>
        </w:numPr>
        <w:spacing w:after="0" w:line="240" w:lineRule="auto"/>
        <w:jc w:val="both"/>
      </w:pPr>
      <w:r w:rsidRPr="00D60495">
        <w:t>Secretaria del ayuntamiento: cuenta con un control interno del 95% en color verde y un 5% en color amarillo.</w:t>
      </w:r>
    </w:p>
    <w:p w:rsidR="00D60495" w:rsidRPr="00D60495" w:rsidRDefault="00D60495" w:rsidP="00D60495">
      <w:pPr>
        <w:pStyle w:val="Prrafodelista"/>
        <w:numPr>
          <w:ilvl w:val="0"/>
          <w:numId w:val="1"/>
        </w:numPr>
        <w:spacing w:after="0" w:line="240" w:lineRule="auto"/>
        <w:jc w:val="both"/>
      </w:pPr>
      <w:r w:rsidRPr="00D60495">
        <w:t>Seguridad pública: cuenta con un 90% en color verde y un 10% en color rojo.</w:t>
      </w:r>
    </w:p>
    <w:p w:rsidR="00D60495" w:rsidRPr="00D60495" w:rsidRDefault="00D60495" w:rsidP="00D60495">
      <w:pPr>
        <w:pStyle w:val="Prrafodelista"/>
        <w:numPr>
          <w:ilvl w:val="0"/>
          <w:numId w:val="1"/>
        </w:numPr>
        <w:spacing w:after="0" w:line="240" w:lineRule="auto"/>
        <w:jc w:val="both"/>
      </w:pPr>
      <w:r w:rsidRPr="00D60495">
        <w:t>Cultura: cuenta con un 89% en color verde y un 11% en color rojo.</w:t>
      </w:r>
    </w:p>
    <w:p w:rsidR="00D60495" w:rsidRPr="00D60495" w:rsidRDefault="00D60495" w:rsidP="00D60495">
      <w:pPr>
        <w:pStyle w:val="Prrafodelista"/>
        <w:numPr>
          <w:ilvl w:val="0"/>
          <w:numId w:val="1"/>
        </w:numPr>
        <w:spacing w:after="0" w:line="240" w:lineRule="auto"/>
        <w:jc w:val="both"/>
      </w:pPr>
      <w:r w:rsidRPr="00D60495">
        <w:t>Deportes: cuenta con un 33% en color verde 5% en color amarillo y un 62% en rojo.</w:t>
      </w:r>
    </w:p>
    <w:p w:rsidR="00D60495" w:rsidRPr="00D60495" w:rsidRDefault="00D60495" w:rsidP="00D60495">
      <w:pPr>
        <w:pStyle w:val="Prrafodelista"/>
        <w:numPr>
          <w:ilvl w:val="0"/>
          <w:numId w:val="1"/>
        </w:numPr>
        <w:spacing w:after="0" w:line="240" w:lineRule="auto"/>
        <w:jc w:val="both"/>
      </w:pPr>
      <w:r w:rsidRPr="00D60495">
        <w:t>Desarrollo social: cuenta con un 54% en color verde y un 46% en color rojo.</w:t>
      </w:r>
    </w:p>
    <w:p w:rsidR="00D60495" w:rsidRPr="00D60495" w:rsidRDefault="00D60495" w:rsidP="00D60495">
      <w:pPr>
        <w:pStyle w:val="Prrafodelista"/>
        <w:numPr>
          <w:ilvl w:val="0"/>
          <w:numId w:val="1"/>
        </w:numPr>
        <w:spacing w:after="0" w:line="240" w:lineRule="auto"/>
        <w:jc w:val="both"/>
      </w:pPr>
      <w:r w:rsidRPr="00D60495">
        <w:t>Educación: cuenta con un 69% en color verde y un 31% color rojo.</w:t>
      </w:r>
    </w:p>
    <w:p w:rsidR="00D60495" w:rsidRPr="00D60495" w:rsidRDefault="00D60495" w:rsidP="00D60495">
      <w:pPr>
        <w:pStyle w:val="Prrafodelista"/>
        <w:numPr>
          <w:ilvl w:val="0"/>
          <w:numId w:val="1"/>
        </w:numPr>
        <w:spacing w:after="0" w:line="240" w:lineRule="auto"/>
        <w:jc w:val="both"/>
      </w:pPr>
      <w:r w:rsidRPr="00D60495">
        <w:t>Salud: cuenta con un 32% en color verde, un 3% en color amarillo y un 65% en color rojo.</w:t>
      </w:r>
    </w:p>
    <w:p w:rsidR="00D60495" w:rsidRPr="00D60495" w:rsidRDefault="00D60495" w:rsidP="00D60495">
      <w:pPr>
        <w:pStyle w:val="Prrafodelista"/>
        <w:numPr>
          <w:ilvl w:val="0"/>
          <w:numId w:val="1"/>
        </w:numPr>
        <w:spacing w:after="0" w:line="240" w:lineRule="auto"/>
        <w:jc w:val="both"/>
      </w:pPr>
      <w:r w:rsidRPr="00D60495">
        <w:t>Tenencias de la tierra: cuenta con un 23% en color verde, un 8% en color amarillo y un 69% en color rojo.</w:t>
      </w:r>
    </w:p>
    <w:p w:rsidR="00D60495" w:rsidRPr="00D60495" w:rsidRDefault="00D60495" w:rsidP="00D60495">
      <w:pPr>
        <w:pStyle w:val="Prrafodelista"/>
        <w:numPr>
          <w:ilvl w:val="0"/>
          <w:numId w:val="1"/>
        </w:numPr>
        <w:spacing w:after="0" w:line="240" w:lineRule="auto"/>
        <w:jc w:val="both"/>
      </w:pPr>
      <w:r w:rsidRPr="00D60495">
        <w:t>Turismo: cuenta con un 60% en color verde y un 40% en color rojo.</w:t>
      </w:r>
    </w:p>
    <w:p w:rsidR="00D60495" w:rsidRPr="00D60495" w:rsidRDefault="00D60495" w:rsidP="00D60495">
      <w:pPr>
        <w:pStyle w:val="Prrafodelista"/>
        <w:numPr>
          <w:ilvl w:val="0"/>
          <w:numId w:val="1"/>
        </w:numPr>
        <w:spacing w:after="0" w:line="240" w:lineRule="auto"/>
        <w:jc w:val="both"/>
      </w:pPr>
      <w:r w:rsidRPr="00D60495">
        <w:t>Catastro: cuenta con un grado de integración con un 41% en color verde, 18% en color amarillo y un 41% de color rojo.</w:t>
      </w:r>
    </w:p>
    <w:p w:rsidR="00D60495" w:rsidRPr="00D60495" w:rsidRDefault="00D60495" w:rsidP="00D60495">
      <w:pPr>
        <w:pStyle w:val="Prrafodelista"/>
        <w:numPr>
          <w:ilvl w:val="0"/>
          <w:numId w:val="1"/>
        </w:numPr>
        <w:spacing w:after="0" w:line="240" w:lineRule="auto"/>
        <w:jc w:val="both"/>
      </w:pPr>
      <w:r w:rsidRPr="00D60495">
        <w:t>Cobranza y ejecución fiscal: cuenta con un 83% de avance y un 17% en color rojo.</w:t>
      </w:r>
    </w:p>
    <w:p w:rsidR="00D60495" w:rsidRPr="00D60495" w:rsidRDefault="00D60495" w:rsidP="00D60495">
      <w:pPr>
        <w:pStyle w:val="Prrafodelista"/>
        <w:numPr>
          <w:ilvl w:val="0"/>
          <w:numId w:val="1"/>
        </w:numPr>
        <w:spacing w:after="0" w:line="240" w:lineRule="auto"/>
        <w:jc w:val="both"/>
      </w:pPr>
      <w:r w:rsidRPr="00D60495">
        <w:t>Contabilidad: cuenta con un 80% de avance en color verde, un 5% en color amarillo y el 15% en color rojo.</w:t>
      </w:r>
    </w:p>
    <w:p w:rsidR="00D60495" w:rsidRPr="00D60495" w:rsidRDefault="00D60495" w:rsidP="00D60495">
      <w:pPr>
        <w:pStyle w:val="Prrafodelista"/>
        <w:numPr>
          <w:ilvl w:val="0"/>
          <w:numId w:val="1"/>
        </w:numPr>
        <w:spacing w:after="0" w:line="240" w:lineRule="auto"/>
        <w:jc w:val="both"/>
      </w:pPr>
      <w:r w:rsidRPr="00D60495">
        <w:t>Juez calificador: cuenta con un 80% de avance en color verde y 20% en color rojo.</w:t>
      </w:r>
    </w:p>
    <w:p w:rsidR="00D60495" w:rsidRPr="00D60495" w:rsidRDefault="00D60495" w:rsidP="00D60495">
      <w:pPr>
        <w:pStyle w:val="Prrafodelista"/>
        <w:numPr>
          <w:ilvl w:val="0"/>
          <w:numId w:val="1"/>
        </w:numPr>
        <w:spacing w:after="0" w:line="240" w:lineRule="auto"/>
        <w:jc w:val="both"/>
      </w:pPr>
      <w:r w:rsidRPr="00D60495">
        <w:t>Oficialía mayor: cuenta con un 62% en color verde, un 10% en color amarillo y un 28% en color rojo.</w:t>
      </w:r>
    </w:p>
    <w:p w:rsidR="00D60495" w:rsidRPr="00D60495" w:rsidRDefault="00D60495" w:rsidP="00D60495">
      <w:pPr>
        <w:pStyle w:val="Prrafodelista"/>
        <w:numPr>
          <w:ilvl w:val="0"/>
          <w:numId w:val="1"/>
        </w:numPr>
        <w:spacing w:after="0" w:line="240" w:lineRule="auto"/>
        <w:jc w:val="both"/>
      </w:pPr>
      <w:proofErr w:type="spellStart"/>
      <w:r w:rsidRPr="00D60495">
        <w:t>Siif</w:t>
      </w:r>
      <w:proofErr w:type="spellEnd"/>
      <w:r w:rsidRPr="00D60495">
        <w:t>: cuenta con un avance del 71% en color verde, un 6% en color amarillo y el 23% en color rojo.</w:t>
      </w:r>
    </w:p>
    <w:p w:rsidR="00D60495" w:rsidRPr="00D60495" w:rsidRDefault="00D60495" w:rsidP="00D60495">
      <w:pPr>
        <w:pStyle w:val="Prrafodelista"/>
        <w:numPr>
          <w:ilvl w:val="0"/>
          <w:numId w:val="1"/>
        </w:numPr>
        <w:spacing w:after="0" w:line="240" w:lineRule="auto"/>
        <w:jc w:val="both"/>
      </w:pPr>
      <w:r w:rsidRPr="00D60495">
        <w:t>Tesorería: cuenta con un 36% en color verde, un 44% en color amarillo y el 20% en color rojo.</w:t>
      </w:r>
    </w:p>
    <w:p w:rsidR="00D60495" w:rsidRPr="00D60495" w:rsidRDefault="00D60495" w:rsidP="00D60495">
      <w:pPr>
        <w:pStyle w:val="Prrafodelista"/>
        <w:numPr>
          <w:ilvl w:val="0"/>
          <w:numId w:val="1"/>
        </w:numPr>
        <w:spacing w:after="0" w:line="240" w:lineRule="auto"/>
        <w:jc w:val="both"/>
      </w:pPr>
      <w:r w:rsidRPr="00D60495">
        <w:t>Fomento agropecuario: cuenta con el total de sus acciones contempladas en un 100% color verde.</w:t>
      </w:r>
    </w:p>
    <w:p w:rsidR="00D60495" w:rsidRPr="00D60495" w:rsidRDefault="00D60495" w:rsidP="00D60495">
      <w:pPr>
        <w:pStyle w:val="Prrafodelista"/>
        <w:numPr>
          <w:ilvl w:val="0"/>
          <w:numId w:val="1"/>
        </w:numPr>
        <w:spacing w:after="0" w:line="240" w:lineRule="auto"/>
        <w:jc w:val="both"/>
      </w:pPr>
      <w:proofErr w:type="spellStart"/>
      <w:r w:rsidRPr="00D60495">
        <w:t>Dif</w:t>
      </w:r>
      <w:proofErr w:type="spellEnd"/>
      <w:r w:rsidRPr="00D60495">
        <w:t>: cuenta con un 85% de avance en color verde, un 8% en color amarillo y un 7% en color rojo.</w:t>
      </w:r>
    </w:p>
    <w:p w:rsidR="00D60495" w:rsidRPr="00D60495" w:rsidRDefault="00D60495" w:rsidP="00D60495">
      <w:pPr>
        <w:pStyle w:val="Prrafodelista"/>
        <w:numPr>
          <w:ilvl w:val="0"/>
          <w:numId w:val="1"/>
        </w:numPr>
        <w:spacing w:after="0" w:line="240" w:lineRule="auto"/>
        <w:jc w:val="both"/>
      </w:pPr>
      <w:r w:rsidRPr="00D60495">
        <w:t>Fomento económico y servicios: cuenta con el 6% en color verde y un 94% en color rojo.</w:t>
      </w:r>
    </w:p>
    <w:p w:rsidR="00D60495" w:rsidRPr="00D60495" w:rsidRDefault="00D60495" w:rsidP="00D60495">
      <w:pPr>
        <w:pStyle w:val="Prrafodelista"/>
        <w:numPr>
          <w:ilvl w:val="0"/>
          <w:numId w:val="1"/>
        </w:numPr>
        <w:spacing w:after="0" w:line="240" w:lineRule="auto"/>
        <w:jc w:val="both"/>
      </w:pPr>
      <w:r w:rsidRPr="00D60495">
        <w:t>Jurídico: cuenta con un 51% de color verde, un 3% en color amarillo y un 69% de color rojo.</w:t>
      </w:r>
    </w:p>
    <w:p w:rsidR="00D60495" w:rsidRPr="00D60495" w:rsidRDefault="00D60495" w:rsidP="00D60495">
      <w:pPr>
        <w:pStyle w:val="Prrafodelista"/>
        <w:numPr>
          <w:ilvl w:val="0"/>
          <w:numId w:val="1"/>
        </w:numPr>
        <w:spacing w:after="0" w:line="240" w:lineRule="auto"/>
        <w:jc w:val="both"/>
      </w:pPr>
      <w:r w:rsidRPr="00D60495">
        <w:t>Secretaria técnica: cuenta con el 31% en color verde y un 69% de color rojo.</w:t>
      </w:r>
    </w:p>
    <w:p w:rsidR="00D60495" w:rsidRPr="00D60495" w:rsidRDefault="00D60495" w:rsidP="00D60495">
      <w:pPr>
        <w:pStyle w:val="Prrafodelista"/>
        <w:numPr>
          <w:ilvl w:val="0"/>
          <w:numId w:val="1"/>
        </w:numPr>
        <w:spacing w:after="0" w:line="240" w:lineRule="auto"/>
        <w:jc w:val="both"/>
      </w:pPr>
      <w:r w:rsidRPr="00D60495">
        <w:t>Conociendo estos resultados logramos establecer un método de implementación de evaluación municipal cada 3 meses con el objetivo primordial de alcanzar un avance optimo al 31 de diciembre del 2016.</w:t>
      </w:r>
    </w:p>
    <w:p w:rsidR="00D60495" w:rsidRPr="00D60495" w:rsidRDefault="00D60495" w:rsidP="00D60495">
      <w:pPr>
        <w:spacing w:after="0" w:line="240" w:lineRule="auto"/>
        <w:jc w:val="both"/>
      </w:pPr>
    </w:p>
    <w:p w:rsidR="00D60495" w:rsidRDefault="00D60495" w:rsidP="00D60495">
      <w:pPr>
        <w:spacing w:after="0" w:line="240" w:lineRule="auto"/>
        <w:jc w:val="both"/>
      </w:pPr>
    </w:p>
    <w:p w:rsidR="00D60495" w:rsidRPr="00D60495" w:rsidRDefault="00D60495" w:rsidP="00D60495">
      <w:pPr>
        <w:spacing w:after="0" w:line="240" w:lineRule="auto"/>
        <w:jc w:val="both"/>
      </w:pPr>
      <w:r>
        <w:rPr>
          <w:noProof/>
          <w:lang w:eastAsia="es-MX"/>
        </w:rPr>
        <w:lastRenderedPageBreak/>
        <w:drawing>
          <wp:inline distT="0" distB="0" distL="0" distR="0" wp14:anchorId="4313C10E" wp14:editId="67E20642">
            <wp:extent cx="5612130" cy="5981065"/>
            <wp:effectExtent l="0" t="0" r="7620" b="6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76A8" w:rsidRDefault="002276A8" w:rsidP="00D60495">
      <w:pPr>
        <w:spacing w:after="0" w:line="240" w:lineRule="auto"/>
        <w:jc w:val="both"/>
        <w:rPr>
          <w:b/>
          <w:i/>
        </w:rPr>
      </w:pPr>
    </w:p>
    <w:p w:rsidR="00D60495" w:rsidRDefault="00D60495" w:rsidP="00D60495">
      <w:pPr>
        <w:spacing w:after="0" w:line="240" w:lineRule="auto"/>
        <w:jc w:val="both"/>
        <w:rPr>
          <w:b/>
          <w:i/>
        </w:rPr>
      </w:pPr>
    </w:p>
    <w:p w:rsidR="00D60495" w:rsidRDefault="00D60495" w:rsidP="00D60495">
      <w:pPr>
        <w:spacing w:after="0" w:line="240" w:lineRule="auto"/>
        <w:jc w:val="both"/>
      </w:pPr>
      <w:r>
        <w:t>Se pretende lograr al final del ejercicio 2017 un cumplimiento del 100% para poder trasladar a la administración entrante mecanismos de control interno que den cumplimiento a las obligaciones normativas existentes.</w:t>
      </w:r>
    </w:p>
    <w:sectPr w:rsidR="00D604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3B3"/>
    <w:multiLevelType w:val="hybridMultilevel"/>
    <w:tmpl w:val="EABE0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316B3A"/>
    <w:multiLevelType w:val="hybridMultilevel"/>
    <w:tmpl w:val="AB14A94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432711C"/>
    <w:multiLevelType w:val="hybridMultilevel"/>
    <w:tmpl w:val="082AAD1E"/>
    <w:lvl w:ilvl="0" w:tplc="BCFA44B4">
      <w:start w:val="1"/>
      <w:numFmt w:val="lowerLetter"/>
      <w:lvlText w:val="%1)"/>
      <w:lvlJc w:val="left"/>
      <w:pPr>
        <w:ind w:left="2367" w:hanging="360"/>
      </w:pPr>
      <w:rPr>
        <w:rFonts w:hint="default"/>
      </w:rPr>
    </w:lvl>
    <w:lvl w:ilvl="1" w:tplc="080A0019" w:tentative="1">
      <w:start w:val="1"/>
      <w:numFmt w:val="lowerLetter"/>
      <w:lvlText w:val="%2."/>
      <w:lvlJc w:val="left"/>
      <w:pPr>
        <w:ind w:left="3087" w:hanging="360"/>
      </w:pPr>
    </w:lvl>
    <w:lvl w:ilvl="2" w:tplc="080A001B">
      <w:start w:val="1"/>
      <w:numFmt w:val="lowerRoman"/>
      <w:lvlText w:val="%3."/>
      <w:lvlJc w:val="right"/>
      <w:pPr>
        <w:ind w:left="3807" w:hanging="180"/>
      </w:pPr>
    </w:lvl>
    <w:lvl w:ilvl="3" w:tplc="080A000F" w:tentative="1">
      <w:start w:val="1"/>
      <w:numFmt w:val="decimal"/>
      <w:lvlText w:val="%4."/>
      <w:lvlJc w:val="left"/>
      <w:pPr>
        <w:ind w:left="4527" w:hanging="360"/>
      </w:pPr>
    </w:lvl>
    <w:lvl w:ilvl="4" w:tplc="080A0019" w:tentative="1">
      <w:start w:val="1"/>
      <w:numFmt w:val="lowerLetter"/>
      <w:lvlText w:val="%5."/>
      <w:lvlJc w:val="left"/>
      <w:pPr>
        <w:ind w:left="5247" w:hanging="360"/>
      </w:pPr>
    </w:lvl>
    <w:lvl w:ilvl="5" w:tplc="080A001B" w:tentative="1">
      <w:start w:val="1"/>
      <w:numFmt w:val="lowerRoman"/>
      <w:lvlText w:val="%6."/>
      <w:lvlJc w:val="right"/>
      <w:pPr>
        <w:ind w:left="5967" w:hanging="180"/>
      </w:pPr>
    </w:lvl>
    <w:lvl w:ilvl="6" w:tplc="080A000F" w:tentative="1">
      <w:start w:val="1"/>
      <w:numFmt w:val="decimal"/>
      <w:lvlText w:val="%7."/>
      <w:lvlJc w:val="left"/>
      <w:pPr>
        <w:ind w:left="6687" w:hanging="360"/>
      </w:pPr>
    </w:lvl>
    <w:lvl w:ilvl="7" w:tplc="080A0019" w:tentative="1">
      <w:start w:val="1"/>
      <w:numFmt w:val="lowerLetter"/>
      <w:lvlText w:val="%8."/>
      <w:lvlJc w:val="left"/>
      <w:pPr>
        <w:ind w:left="7407" w:hanging="360"/>
      </w:pPr>
    </w:lvl>
    <w:lvl w:ilvl="8" w:tplc="080A001B" w:tentative="1">
      <w:start w:val="1"/>
      <w:numFmt w:val="lowerRoman"/>
      <w:lvlText w:val="%9."/>
      <w:lvlJc w:val="right"/>
      <w:pPr>
        <w:ind w:left="812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A8"/>
    <w:rsid w:val="002276A8"/>
    <w:rsid w:val="00376FB4"/>
    <w:rsid w:val="004E37D6"/>
    <w:rsid w:val="009D573B"/>
    <w:rsid w:val="00D60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495"/>
    <w:pPr>
      <w:ind w:left="720"/>
      <w:contextualSpacing/>
    </w:pPr>
  </w:style>
  <w:style w:type="paragraph" w:styleId="Textodeglobo">
    <w:name w:val="Balloon Text"/>
    <w:basedOn w:val="Normal"/>
    <w:link w:val="TextodegloboCar"/>
    <w:uiPriority w:val="99"/>
    <w:semiHidden/>
    <w:unhideWhenUsed/>
    <w:rsid w:val="00D604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4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495"/>
    <w:pPr>
      <w:ind w:left="720"/>
      <w:contextualSpacing/>
    </w:pPr>
  </w:style>
  <w:style w:type="paragraph" w:styleId="Textodeglobo">
    <w:name w:val="Balloon Text"/>
    <w:basedOn w:val="Normal"/>
    <w:link w:val="TextodegloboCar"/>
    <w:uiPriority w:val="99"/>
    <w:semiHidden/>
    <w:unhideWhenUsed/>
    <w:rsid w:val="00D604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0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diagnostico%20de%20control%20intern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diagnostico%20de%20control%20inter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MX" sz="1300"/>
              <a:t>Grado de cumplimiento de control Interno al 31 Diciembre 2015</a:t>
            </a:r>
          </a:p>
        </c:rich>
      </c:tx>
      <c:layout>
        <c:manualLayout>
          <c:xMode val="edge"/>
          <c:yMode val="edge"/>
          <c:x val="0.19058703027975163"/>
          <c:y val="0"/>
        </c:manualLayout>
      </c:layout>
      <c:overlay val="0"/>
      <c:spPr>
        <a:noFill/>
        <a:ln>
          <a:noFill/>
        </a:ln>
        <a:effectLst/>
      </c:spPr>
    </c:title>
    <c:autoTitleDeleted val="0"/>
    <c:plotArea>
      <c:layout/>
      <c:pieChart>
        <c:varyColors val="1"/>
        <c:ser>
          <c:idx val="0"/>
          <c:order val="0"/>
          <c:dPt>
            <c:idx val="0"/>
            <c:bubble3D val="0"/>
            <c:spPr>
              <a:solidFill>
                <a:srgbClr val="FFFF00"/>
              </a:solidFill>
              <a:ln>
                <a:noFill/>
              </a:ln>
              <a:effectLst/>
            </c:spPr>
          </c:dPt>
          <c:dPt>
            <c:idx val="1"/>
            <c:bubble3D val="0"/>
            <c:spPr>
              <a:solidFill>
                <a:srgbClr val="FF0000"/>
              </a:solidFill>
              <a:ln>
                <a:noFill/>
              </a:ln>
              <a:effectLst/>
            </c:spPr>
          </c:dPt>
          <c:dPt>
            <c:idx val="2"/>
            <c:bubble3D val="0"/>
            <c:spPr>
              <a:solidFill>
                <a:srgbClr val="92D05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multiLvlStrRef>
              <c:f>'[diagnostico de control interno.xlsx]graficas de semaforizacion'!$B$3:$C$5</c:f>
              <c:multiLvlStrCache>
                <c:ptCount val="3"/>
                <c:lvl>
                  <c:pt idx="0">
                    <c:v>amarillo</c:v>
                  </c:pt>
                  <c:pt idx="1">
                    <c:v>rojo</c:v>
                  </c:pt>
                  <c:pt idx="2">
                    <c:v>verde</c:v>
                  </c:pt>
                </c:lvl>
                <c:lvl>
                  <c:pt idx="0">
                    <c:v>56</c:v>
                  </c:pt>
                  <c:pt idx="1">
                    <c:v>344</c:v>
                  </c:pt>
                  <c:pt idx="2">
                    <c:v>638</c:v>
                  </c:pt>
                </c:lvl>
              </c:multiLvlStrCache>
            </c:multiLvlStrRef>
          </c:cat>
          <c:val>
            <c:numRef>
              <c:f>'[diagnostico de control interno.xlsx]graficas de semaforizacion'!$D$3:$D$5</c:f>
              <c:numCache>
                <c:formatCode>0%</c:formatCode>
                <c:ptCount val="3"/>
                <c:pt idx="0">
                  <c:v>5.3949903660886318E-2</c:v>
                </c:pt>
                <c:pt idx="1">
                  <c:v>0.33140655105973027</c:v>
                </c:pt>
                <c:pt idx="2">
                  <c:v>0.61464354527938347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Semaforizacion de Cumplimiento de Control Interno por Area Municipal</a:t>
            </a:r>
          </a:p>
        </c:rich>
      </c:tx>
      <c:layout>
        <c:manualLayout>
          <c:xMode val="edge"/>
          <c:yMode val="edge"/>
          <c:x val="0.44264016178305576"/>
          <c:y val="7.3159558260282986E-3"/>
        </c:manualLayout>
      </c:layout>
      <c:overlay val="0"/>
      <c:spPr>
        <a:noFill/>
        <a:ln>
          <a:noFill/>
        </a:ln>
        <a:effectLst/>
      </c:spPr>
    </c:title>
    <c:autoTitleDeleted val="0"/>
    <c:plotArea>
      <c:layout/>
      <c:barChart>
        <c:barDir val="bar"/>
        <c:grouping val="clustered"/>
        <c:varyColors val="0"/>
        <c:ser>
          <c:idx val="0"/>
          <c:order val="0"/>
          <c:tx>
            <c:strRef>
              <c:f>'[diagnostico de control interno.xlsx]graficas de semaforizacion'!$C$15</c:f>
              <c:strCache>
                <c:ptCount val="1"/>
                <c:pt idx="0">
                  <c:v>total porcentaje verde</c:v>
                </c:pt>
              </c:strCache>
            </c:strRef>
          </c:tx>
          <c:spPr>
            <a:solidFill>
              <a:srgbClr val="92D050"/>
            </a:solidFill>
            <a:ln>
              <a:noFill/>
            </a:ln>
            <a:effectLst/>
          </c:spPr>
          <c:invertIfNegative val="0"/>
          <c:cat>
            <c:strRef>
              <c:f>'[diagnostico de control interno.xlsx]graficas de semaforizacion'!$B$16:$B$46</c:f>
              <c:strCache>
                <c:ptCount val="31"/>
                <c:pt idx="0">
                  <c:v>PRESIDENTE</c:v>
                </c:pt>
                <c:pt idx="1">
                  <c:v>SECRETARIA PARTICULAR</c:v>
                </c:pt>
                <c:pt idx="2">
                  <c:v>CUERPO EDILICIO</c:v>
                </c:pt>
                <c:pt idx="3">
                  <c:v>CONTRALORIA</c:v>
                </c:pt>
                <c:pt idx="4">
                  <c:v>OBRAS PUBLICAS</c:v>
                </c:pt>
                <c:pt idx="5">
                  <c:v>SERVICIOS PRIMARIOS</c:v>
                </c:pt>
                <c:pt idx="6">
                  <c:v>ARCHIVO MUNICIPAL</c:v>
                </c:pt>
                <c:pt idx="7">
                  <c:v>ATENCION CIUDADANA</c:v>
                </c:pt>
                <c:pt idx="8">
                  <c:v>COMUNICACIÓN SOCIAL</c:v>
                </c:pt>
                <c:pt idx="9">
                  <c:v>PROTECCION CIVIL</c:v>
                </c:pt>
                <c:pt idx="10">
                  <c:v>SECRETARIA DEL AYUNTAMIENTO</c:v>
                </c:pt>
                <c:pt idx="11">
                  <c:v>SEGURIDAD PUBLICA</c:v>
                </c:pt>
                <c:pt idx="12">
                  <c:v>CULTURA</c:v>
                </c:pt>
                <c:pt idx="13">
                  <c:v>DEPORTE</c:v>
                </c:pt>
                <c:pt idx="14">
                  <c:v>DESARROLLO SOCIAL</c:v>
                </c:pt>
                <c:pt idx="15">
                  <c:v>EDUCACION</c:v>
                </c:pt>
                <c:pt idx="16">
                  <c:v>SALUD</c:v>
                </c:pt>
                <c:pt idx="17">
                  <c:v>TENENCIA DE LA TIERRA</c:v>
                </c:pt>
                <c:pt idx="18">
                  <c:v>TURISMO</c:v>
                </c:pt>
                <c:pt idx="19">
                  <c:v>CATASTRO</c:v>
                </c:pt>
                <c:pt idx="20">
                  <c:v>COBRANZA Y EJECUCION FISCAL</c:v>
                </c:pt>
                <c:pt idx="21">
                  <c:v>CONTABILIDAD</c:v>
                </c:pt>
                <c:pt idx="22">
                  <c:v>JUEZ CALIFICADOR</c:v>
                </c:pt>
                <c:pt idx="23">
                  <c:v>OFICIALIA MAYOR</c:v>
                </c:pt>
                <c:pt idx="24">
                  <c:v>SIIF</c:v>
                </c:pt>
                <c:pt idx="25">
                  <c:v>TESORERIA</c:v>
                </c:pt>
                <c:pt idx="26">
                  <c:v>FOMENTO ACROPECUARIO</c:v>
                </c:pt>
                <c:pt idx="27">
                  <c:v>DIF</c:v>
                </c:pt>
                <c:pt idx="28">
                  <c:v>FOMENTO ECONOMICO Y SERVICIOS CONCESIONADOS</c:v>
                </c:pt>
                <c:pt idx="29">
                  <c:v>JURIDICO</c:v>
                </c:pt>
                <c:pt idx="30">
                  <c:v>SECRETARIA TECNICA</c:v>
                </c:pt>
              </c:strCache>
            </c:strRef>
          </c:cat>
          <c:val>
            <c:numRef>
              <c:f>'[diagnostico de control interno.xlsx]graficas de semaforizacion'!$C$16:$C$46</c:f>
              <c:numCache>
                <c:formatCode>0%</c:formatCode>
                <c:ptCount val="31"/>
                <c:pt idx="0">
                  <c:v>0.83333333333333337</c:v>
                </c:pt>
                <c:pt idx="1">
                  <c:v>1</c:v>
                </c:pt>
                <c:pt idx="2">
                  <c:v>0.5</c:v>
                </c:pt>
                <c:pt idx="3">
                  <c:v>0.78125</c:v>
                </c:pt>
                <c:pt idx="4">
                  <c:v>0.36363636363636365</c:v>
                </c:pt>
                <c:pt idx="5">
                  <c:v>0.55882352941176472</c:v>
                </c:pt>
                <c:pt idx="6">
                  <c:v>1</c:v>
                </c:pt>
                <c:pt idx="7">
                  <c:v>0.88</c:v>
                </c:pt>
                <c:pt idx="8">
                  <c:v>0.68</c:v>
                </c:pt>
                <c:pt idx="9">
                  <c:v>0.71052631578947367</c:v>
                </c:pt>
                <c:pt idx="10">
                  <c:v>0.95454545454545459</c:v>
                </c:pt>
                <c:pt idx="11">
                  <c:v>0.90243902439024393</c:v>
                </c:pt>
                <c:pt idx="12">
                  <c:v>0.88888888888888884</c:v>
                </c:pt>
                <c:pt idx="13">
                  <c:v>0.33333333333333331</c:v>
                </c:pt>
                <c:pt idx="14">
                  <c:v>0.54054054054054057</c:v>
                </c:pt>
                <c:pt idx="15">
                  <c:v>0.6875</c:v>
                </c:pt>
                <c:pt idx="16">
                  <c:v>0.3235294117647059</c:v>
                </c:pt>
                <c:pt idx="17">
                  <c:v>0.23076923076923078</c:v>
                </c:pt>
                <c:pt idx="18">
                  <c:v>0.6</c:v>
                </c:pt>
                <c:pt idx="19">
                  <c:v>0.41176470588235292</c:v>
                </c:pt>
                <c:pt idx="20">
                  <c:v>0.83333333333333337</c:v>
                </c:pt>
                <c:pt idx="21">
                  <c:v>0.8</c:v>
                </c:pt>
                <c:pt idx="22">
                  <c:v>0.8</c:v>
                </c:pt>
                <c:pt idx="23">
                  <c:v>0.62</c:v>
                </c:pt>
                <c:pt idx="24">
                  <c:v>0.70967741935483875</c:v>
                </c:pt>
                <c:pt idx="25">
                  <c:v>0.35555555555555557</c:v>
                </c:pt>
                <c:pt idx="26">
                  <c:v>1</c:v>
                </c:pt>
                <c:pt idx="27">
                  <c:v>0.85</c:v>
                </c:pt>
                <c:pt idx="28">
                  <c:v>5.6603773584905662E-2</c:v>
                </c:pt>
                <c:pt idx="29">
                  <c:v>0.51470588235294112</c:v>
                </c:pt>
                <c:pt idx="30">
                  <c:v>0.30769230769230771</c:v>
                </c:pt>
              </c:numCache>
            </c:numRef>
          </c:val>
        </c:ser>
        <c:ser>
          <c:idx val="1"/>
          <c:order val="1"/>
          <c:tx>
            <c:strRef>
              <c:f>'[diagnostico de control interno.xlsx]graficas de semaforizacion'!$D$15</c:f>
              <c:strCache>
                <c:ptCount val="1"/>
                <c:pt idx="0">
                  <c:v>total porcentaje amarillo</c:v>
                </c:pt>
              </c:strCache>
            </c:strRef>
          </c:tx>
          <c:spPr>
            <a:solidFill>
              <a:srgbClr val="FFFF00"/>
            </a:solidFill>
            <a:ln>
              <a:noFill/>
            </a:ln>
            <a:effectLst/>
          </c:spPr>
          <c:invertIfNegative val="0"/>
          <c:cat>
            <c:strRef>
              <c:f>'[diagnostico de control interno.xlsx]graficas de semaforizacion'!$B$16:$B$46</c:f>
              <c:strCache>
                <c:ptCount val="31"/>
                <c:pt idx="0">
                  <c:v>PRESIDENTE</c:v>
                </c:pt>
                <c:pt idx="1">
                  <c:v>SECRETARIA PARTICULAR</c:v>
                </c:pt>
                <c:pt idx="2">
                  <c:v>CUERPO EDILICIO</c:v>
                </c:pt>
                <c:pt idx="3">
                  <c:v>CONTRALORIA</c:v>
                </c:pt>
                <c:pt idx="4">
                  <c:v>OBRAS PUBLICAS</c:v>
                </c:pt>
                <c:pt idx="5">
                  <c:v>SERVICIOS PRIMARIOS</c:v>
                </c:pt>
                <c:pt idx="6">
                  <c:v>ARCHIVO MUNICIPAL</c:v>
                </c:pt>
                <c:pt idx="7">
                  <c:v>ATENCION CIUDADANA</c:v>
                </c:pt>
                <c:pt idx="8">
                  <c:v>COMUNICACIÓN SOCIAL</c:v>
                </c:pt>
                <c:pt idx="9">
                  <c:v>PROTECCION CIVIL</c:v>
                </c:pt>
                <c:pt idx="10">
                  <c:v>SECRETARIA DEL AYUNTAMIENTO</c:v>
                </c:pt>
                <c:pt idx="11">
                  <c:v>SEGURIDAD PUBLICA</c:v>
                </c:pt>
                <c:pt idx="12">
                  <c:v>CULTURA</c:v>
                </c:pt>
                <c:pt idx="13">
                  <c:v>DEPORTE</c:v>
                </c:pt>
                <c:pt idx="14">
                  <c:v>DESARROLLO SOCIAL</c:v>
                </c:pt>
                <c:pt idx="15">
                  <c:v>EDUCACION</c:v>
                </c:pt>
                <c:pt idx="16">
                  <c:v>SALUD</c:v>
                </c:pt>
                <c:pt idx="17">
                  <c:v>TENENCIA DE LA TIERRA</c:v>
                </c:pt>
                <c:pt idx="18">
                  <c:v>TURISMO</c:v>
                </c:pt>
                <c:pt idx="19">
                  <c:v>CATASTRO</c:v>
                </c:pt>
                <c:pt idx="20">
                  <c:v>COBRANZA Y EJECUCION FISCAL</c:v>
                </c:pt>
                <c:pt idx="21">
                  <c:v>CONTABILIDAD</c:v>
                </c:pt>
                <c:pt idx="22">
                  <c:v>JUEZ CALIFICADOR</c:v>
                </c:pt>
                <c:pt idx="23">
                  <c:v>OFICIALIA MAYOR</c:v>
                </c:pt>
                <c:pt idx="24">
                  <c:v>SIIF</c:v>
                </c:pt>
                <c:pt idx="25">
                  <c:v>TESORERIA</c:v>
                </c:pt>
                <c:pt idx="26">
                  <c:v>FOMENTO ACROPECUARIO</c:v>
                </c:pt>
                <c:pt idx="27">
                  <c:v>DIF</c:v>
                </c:pt>
                <c:pt idx="28">
                  <c:v>FOMENTO ECONOMICO Y SERVICIOS CONCESIONADOS</c:v>
                </c:pt>
                <c:pt idx="29">
                  <c:v>JURIDICO</c:v>
                </c:pt>
                <c:pt idx="30">
                  <c:v>SECRETARIA TECNICA</c:v>
                </c:pt>
              </c:strCache>
            </c:strRef>
          </c:cat>
          <c:val>
            <c:numRef>
              <c:f>'[diagnostico de control interno.xlsx]graficas de semaforizacion'!$D$16:$D$46</c:f>
              <c:numCache>
                <c:formatCode>0%</c:formatCode>
                <c:ptCount val="31"/>
                <c:pt idx="0">
                  <c:v>0</c:v>
                </c:pt>
                <c:pt idx="1">
                  <c:v>0</c:v>
                </c:pt>
                <c:pt idx="2">
                  <c:v>0.25</c:v>
                </c:pt>
                <c:pt idx="3">
                  <c:v>0</c:v>
                </c:pt>
                <c:pt idx="4">
                  <c:v>6.0606060606060608E-2</c:v>
                </c:pt>
                <c:pt idx="5">
                  <c:v>2.9411764705882353E-2</c:v>
                </c:pt>
                <c:pt idx="6">
                  <c:v>0</c:v>
                </c:pt>
                <c:pt idx="7">
                  <c:v>0</c:v>
                </c:pt>
                <c:pt idx="8">
                  <c:v>0</c:v>
                </c:pt>
                <c:pt idx="9">
                  <c:v>0.10526315789473684</c:v>
                </c:pt>
                <c:pt idx="10">
                  <c:v>4.5454545454545456E-2</c:v>
                </c:pt>
                <c:pt idx="11">
                  <c:v>0</c:v>
                </c:pt>
                <c:pt idx="12">
                  <c:v>0</c:v>
                </c:pt>
                <c:pt idx="13">
                  <c:v>4.7619047619047616E-2</c:v>
                </c:pt>
                <c:pt idx="14">
                  <c:v>0</c:v>
                </c:pt>
                <c:pt idx="15">
                  <c:v>0</c:v>
                </c:pt>
                <c:pt idx="16">
                  <c:v>2.9411764705882353E-2</c:v>
                </c:pt>
                <c:pt idx="17">
                  <c:v>7.6923076923076927E-2</c:v>
                </c:pt>
                <c:pt idx="18">
                  <c:v>0</c:v>
                </c:pt>
                <c:pt idx="19">
                  <c:v>0.17647058823529413</c:v>
                </c:pt>
                <c:pt idx="20">
                  <c:v>0</c:v>
                </c:pt>
                <c:pt idx="21">
                  <c:v>0.05</c:v>
                </c:pt>
                <c:pt idx="22">
                  <c:v>0</c:v>
                </c:pt>
                <c:pt idx="23">
                  <c:v>0.1</c:v>
                </c:pt>
                <c:pt idx="24">
                  <c:v>6.4516129032258063E-2</c:v>
                </c:pt>
                <c:pt idx="25">
                  <c:v>0.44444444444444442</c:v>
                </c:pt>
                <c:pt idx="26">
                  <c:v>0</c:v>
                </c:pt>
                <c:pt idx="27">
                  <c:v>7.0000000000000007E-2</c:v>
                </c:pt>
                <c:pt idx="28">
                  <c:v>0</c:v>
                </c:pt>
                <c:pt idx="29">
                  <c:v>2.9411764705882353E-2</c:v>
                </c:pt>
                <c:pt idx="30">
                  <c:v>0</c:v>
                </c:pt>
              </c:numCache>
            </c:numRef>
          </c:val>
        </c:ser>
        <c:ser>
          <c:idx val="2"/>
          <c:order val="2"/>
          <c:tx>
            <c:strRef>
              <c:f>'[diagnostico de control interno.xlsx]graficas de semaforizacion'!$E$15</c:f>
              <c:strCache>
                <c:ptCount val="1"/>
                <c:pt idx="0">
                  <c:v>total porcentaje rojo</c:v>
                </c:pt>
              </c:strCache>
            </c:strRef>
          </c:tx>
          <c:spPr>
            <a:solidFill>
              <a:srgbClr val="FF0000"/>
            </a:solidFill>
            <a:ln>
              <a:noFill/>
            </a:ln>
            <a:effectLst/>
          </c:spPr>
          <c:invertIfNegative val="0"/>
          <c:cat>
            <c:strRef>
              <c:f>'[diagnostico de control interno.xlsx]graficas de semaforizacion'!$B$16:$B$46</c:f>
              <c:strCache>
                <c:ptCount val="31"/>
                <c:pt idx="0">
                  <c:v>PRESIDENTE</c:v>
                </c:pt>
                <c:pt idx="1">
                  <c:v>SECRETARIA PARTICULAR</c:v>
                </c:pt>
                <c:pt idx="2">
                  <c:v>CUERPO EDILICIO</c:v>
                </c:pt>
                <c:pt idx="3">
                  <c:v>CONTRALORIA</c:v>
                </c:pt>
                <c:pt idx="4">
                  <c:v>OBRAS PUBLICAS</c:v>
                </c:pt>
                <c:pt idx="5">
                  <c:v>SERVICIOS PRIMARIOS</c:v>
                </c:pt>
                <c:pt idx="6">
                  <c:v>ARCHIVO MUNICIPAL</c:v>
                </c:pt>
                <c:pt idx="7">
                  <c:v>ATENCION CIUDADANA</c:v>
                </c:pt>
                <c:pt idx="8">
                  <c:v>COMUNICACIÓN SOCIAL</c:v>
                </c:pt>
                <c:pt idx="9">
                  <c:v>PROTECCION CIVIL</c:v>
                </c:pt>
                <c:pt idx="10">
                  <c:v>SECRETARIA DEL AYUNTAMIENTO</c:v>
                </c:pt>
                <c:pt idx="11">
                  <c:v>SEGURIDAD PUBLICA</c:v>
                </c:pt>
                <c:pt idx="12">
                  <c:v>CULTURA</c:v>
                </c:pt>
                <c:pt idx="13">
                  <c:v>DEPORTE</c:v>
                </c:pt>
                <c:pt idx="14">
                  <c:v>DESARROLLO SOCIAL</c:v>
                </c:pt>
                <c:pt idx="15">
                  <c:v>EDUCACION</c:v>
                </c:pt>
                <c:pt idx="16">
                  <c:v>SALUD</c:v>
                </c:pt>
                <c:pt idx="17">
                  <c:v>TENENCIA DE LA TIERRA</c:v>
                </c:pt>
                <c:pt idx="18">
                  <c:v>TURISMO</c:v>
                </c:pt>
                <c:pt idx="19">
                  <c:v>CATASTRO</c:v>
                </c:pt>
                <c:pt idx="20">
                  <c:v>COBRANZA Y EJECUCION FISCAL</c:v>
                </c:pt>
                <c:pt idx="21">
                  <c:v>CONTABILIDAD</c:v>
                </c:pt>
                <c:pt idx="22">
                  <c:v>JUEZ CALIFICADOR</c:v>
                </c:pt>
                <c:pt idx="23">
                  <c:v>OFICIALIA MAYOR</c:v>
                </c:pt>
                <c:pt idx="24">
                  <c:v>SIIF</c:v>
                </c:pt>
                <c:pt idx="25">
                  <c:v>TESORERIA</c:v>
                </c:pt>
                <c:pt idx="26">
                  <c:v>FOMENTO ACROPECUARIO</c:v>
                </c:pt>
                <c:pt idx="27">
                  <c:v>DIF</c:v>
                </c:pt>
                <c:pt idx="28">
                  <c:v>FOMENTO ECONOMICO Y SERVICIOS CONCESIONADOS</c:v>
                </c:pt>
                <c:pt idx="29">
                  <c:v>JURIDICO</c:v>
                </c:pt>
                <c:pt idx="30">
                  <c:v>SECRETARIA TECNICA</c:v>
                </c:pt>
              </c:strCache>
            </c:strRef>
          </c:cat>
          <c:val>
            <c:numRef>
              <c:f>'[diagnostico de control interno.xlsx]graficas de semaforizacion'!$E$16:$E$46</c:f>
              <c:numCache>
                <c:formatCode>0%</c:formatCode>
                <c:ptCount val="31"/>
                <c:pt idx="0">
                  <c:v>0.16666666666666666</c:v>
                </c:pt>
                <c:pt idx="1">
                  <c:v>0</c:v>
                </c:pt>
                <c:pt idx="2">
                  <c:v>0.25</c:v>
                </c:pt>
                <c:pt idx="3">
                  <c:v>0.21875</c:v>
                </c:pt>
                <c:pt idx="4">
                  <c:v>0.5757575757575758</c:v>
                </c:pt>
                <c:pt idx="5">
                  <c:v>0.41176470588235292</c:v>
                </c:pt>
                <c:pt idx="6">
                  <c:v>0</c:v>
                </c:pt>
                <c:pt idx="7">
                  <c:v>0.12</c:v>
                </c:pt>
                <c:pt idx="8">
                  <c:v>0.32</c:v>
                </c:pt>
                <c:pt idx="9">
                  <c:v>0.18421052631578946</c:v>
                </c:pt>
                <c:pt idx="10">
                  <c:v>0</c:v>
                </c:pt>
                <c:pt idx="11">
                  <c:v>9.7560975609756101E-2</c:v>
                </c:pt>
                <c:pt idx="12">
                  <c:v>0.1111111111111111</c:v>
                </c:pt>
                <c:pt idx="13">
                  <c:v>0.61904761904761907</c:v>
                </c:pt>
                <c:pt idx="14">
                  <c:v>0.45945945945945948</c:v>
                </c:pt>
                <c:pt idx="15">
                  <c:v>0.3125</c:v>
                </c:pt>
                <c:pt idx="16">
                  <c:v>0.6470588235294118</c:v>
                </c:pt>
                <c:pt idx="17">
                  <c:v>0.69230769230769229</c:v>
                </c:pt>
                <c:pt idx="18">
                  <c:v>0.4</c:v>
                </c:pt>
                <c:pt idx="19">
                  <c:v>0.41176470588235292</c:v>
                </c:pt>
                <c:pt idx="20">
                  <c:v>0.16666666666666666</c:v>
                </c:pt>
                <c:pt idx="21">
                  <c:v>0.15</c:v>
                </c:pt>
                <c:pt idx="22">
                  <c:v>0.2</c:v>
                </c:pt>
                <c:pt idx="23">
                  <c:v>0.28000000000000003</c:v>
                </c:pt>
                <c:pt idx="24">
                  <c:v>0.22580645161290322</c:v>
                </c:pt>
                <c:pt idx="25">
                  <c:v>0.2</c:v>
                </c:pt>
                <c:pt idx="26">
                  <c:v>0</c:v>
                </c:pt>
                <c:pt idx="27">
                  <c:v>0.08</c:v>
                </c:pt>
                <c:pt idx="28">
                  <c:v>0.94339622641509435</c:v>
                </c:pt>
                <c:pt idx="29">
                  <c:v>0.45588235294117646</c:v>
                </c:pt>
                <c:pt idx="30">
                  <c:v>0.69230769230769229</c:v>
                </c:pt>
              </c:numCache>
            </c:numRef>
          </c:val>
        </c:ser>
        <c:dLbls>
          <c:showLegendKey val="0"/>
          <c:showVal val="0"/>
          <c:showCatName val="0"/>
          <c:showSerName val="0"/>
          <c:showPercent val="0"/>
          <c:showBubbleSize val="0"/>
        </c:dLbls>
        <c:gapWidth val="219"/>
        <c:axId val="177277568"/>
        <c:axId val="177291648"/>
      </c:barChart>
      <c:catAx>
        <c:axId val="177277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7291648"/>
        <c:crosses val="autoZero"/>
        <c:auto val="1"/>
        <c:lblAlgn val="ctr"/>
        <c:lblOffset val="100"/>
        <c:noMultiLvlLbl val="0"/>
      </c:catAx>
      <c:valAx>
        <c:axId val="1772916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727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dc:creator>
  <cp:lastModifiedBy>Angela Maria Faz Gonzalez</cp:lastModifiedBy>
  <cp:revision>2</cp:revision>
  <cp:lastPrinted>2016-04-28T17:34:00Z</cp:lastPrinted>
  <dcterms:created xsi:type="dcterms:W3CDTF">2017-03-21T18:17:00Z</dcterms:created>
  <dcterms:modified xsi:type="dcterms:W3CDTF">2017-03-21T18:17:00Z</dcterms:modified>
</cp:coreProperties>
</file>