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3B" w:rsidRDefault="002937D5">
      <w:pPr>
        <w:pStyle w:val="Cuerpodeltexto30"/>
        <w:shd w:val="clear" w:color="auto" w:fill="auto"/>
        <w:spacing w:after="248"/>
        <w:ind w:right="1300"/>
      </w:pPr>
      <w:r>
        <w:rPr>
          <w:rStyle w:val="Cuerpodeltexto312pto"/>
          <w:b/>
          <w:bCs/>
        </w:rPr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FD280D">
      <w:pPr>
        <w:pStyle w:val="Cuerpodeltexto20"/>
        <w:shd w:val="clear" w:color="auto" w:fill="auto"/>
        <w:spacing w:befor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6004560</wp:posOffset>
                </wp:positionH>
                <wp:positionV relativeFrom="paragraph">
                  <wp:posOffset>-203835</wp:posOffset>
                </wp:positionV>
                <wp:extent cx="658495" cy="133350"/>
                <wp:effectExtent l="3810" t="0" r="444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C3B" w:rsidRDefault="002937D5">
                            <w:pPr>
                              <w:pStyle w:val="Cuerpodeltexto20"/>
                              <w:shd w:val="clear" w:color="auto" w:fill="auto"/>
                              <w:spacing w:before="0" w:line="21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1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2.8pt;margin-top:-16.05pt;width:51.85pt;height:1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bbsrQIAAKg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" filled="f" stroked="f">
                <v:textbox style="mso-fit-shape-to-text:t" inset="0,0,0,0">
                  <w:txbxContent>
                    <w:p w:rsidR="00C51C3B" w:rsidRDefault="002937D5">
                      <w:pPr>
                        <w:pStyle w:val="Cuerpodeltexto20"/>
                        <w:shd w:val="clear" w:color="auto" w:fill="auto"/>
                        <w:spacing w:before="0" w:line="210" w:lineRule="exact"/>
                      </w:pPr>
                      <w:r>
                        <w:rPr>
                          <w:rStyle w:val="Cuerpodeltexto2Exact"/>
                        </w:rPr>
                        <w:t>hoja 1 de 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937D5">
        <w:t>NOTAS DE DESGLOSE.</w:t>
      </w:r>
    </w:p>
    <w:p w:rsidR="00C51C3B" w:rsidRDefault="002937D5">
      <w:pPr>
        <w:pStyle w:val="Cuerpodeltexto40"/>
        <w:shd w:val="clear" w:color="auto" w:fill="auto"/>
        <w:ind w:right="3840"/>
      </w:pPr>
      <w:r>
        <w:t>I) Notas al Estado de Situación Financiera Activo</w:t>
      </w:r>
    </w:p>
    <w:p w:rsidR="00C51C3B" w:rsidRDefault="002937D5">
      <w:pPr>
        <w:pStyle w:val="Cuerpodeltexto40"/>
        <w:shd w:val="clear" w:color="auto" w:fill="auto"/>
      </w:pPr>
      <w:r>
        <w:t>ESF-01.- Efectivo y Equivalentes</w:t>
      </w:r>
    </w:p>
    <w:p w:rsidR="00C51C3B" w:rsidRDefault="002937D5">
      <w:pPr>
        <w:pStyle w:val="Cuerpodeltexto40"/>
        <w:shd w:val="clear" w:color="auto" w:fill="auto"/>
      </w:pPr>
      <w:r>
        <w:t xml:space="preserve">1. Fondos </w:t>
      </w:r>
      <w:r>
        <w:t>revolventes para sufragar gastos menores.</w:t>
      </w:r>
    </w:p>
    <w:p w:rsidR="00C51C3B" w:rsidRDefault="002937D5">
      <w:pPr>
        <w:pStyle w:val="Cuerpodeltexto40"/>
        <w:shd w:val="clear" w:color="auto" w:fill="auto"/>
        <w:tabs>
          <w:tab w:val="left" w:pos="6983"/>
          <w:tab w:val="left" w:pos="7703"/>
        </w:tabs>
        <w:ind w:left="340"/>
        <w:jc w:val="both"/>
      </w:pPr>
      <w:r>
        <w:t>Tesorería</w:t>
      </w:r>
      <w:r>
        <w:tab/>
        <w:t>$</w:t>
      </w:r>
      <w:r>
        <w:tab/>
        <w:t>20,000.00</w:t>
      </w:r>
    </w:p>
    <w:p w:rsidR="00C51C3B" w:rsidRDefault="002937D5">
      <w:pPr>
        <w:pStyle w:val="Cuerpodeltexto40"/>
        <w:shd w:val="clear" w:color="auto" w:fill="auto"/>
        <w:ind w:left="340"/>
        <w:jc w:val="both"/>
      </w:pPr>
      <w:r>
        <w:t>Dif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9"/>
        <w:gridCol w:w="931"/>
        <w:gridCol w:w="1565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259" w:type="dxa"/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Suma fondos revolventes</w:t>
            </w:r>
          </w:p>
        </w:tc>
        <w:tc>
          <w:tcPr>
            <w:tcW w:w="931" w:type="dxa"/>
            <w:shd w:val="clear" w:color="auto" w:fill="FFFFFF"/>
          </w:tcPr>
          <w:p w:rsidR="00C51C3B" w:rsidRDefault="00C51C3B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$20,000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259" w:type="dxa"/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Saldo según Libros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20,000.00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755" w:type="dxa"/>
            <w:gridSpan w:val="3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Cuerpodeltexto2Negrita"/>
              </w:rPr>
              <w:t>Cuentas Bancarias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Banorte Recursos Propios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12,891.00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Cuerpodeltexto2Negrita"/>
              </w:rPr>
              <w:t xml:space="preserve">Scotiabank Inverlat comunidades saludables Scotiabank Inverlat </w:t>
            </w:r>
            <w:r>
              <w:rPr>
                <w:rStyle w:val="Cuerpodeltexto2Negrita"/>
              </w:rPr>
              <w:t>Recursos Propios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21,506,655.25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Scotiabank Inverlat Fondo de Infraestructura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270,547.01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Scotiabank Inverlat Fondo de Fortalecimiento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476,069.07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scotiabank Inverlat CUENTA DE AHORRO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59,903.00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Scotiabank Inverlat Recursos Propios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53,232.13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Scotiabank Inverlat Hidrocarburos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33,853,808.48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Suma efectivo en Bancos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56,233,105.94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259" w:type="dxa"/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Saldo en libros de cuentas Bancarias no activas(sin saldo real)</w:t>
            </w:r>
          </w:p>
        </w:tc>
        <w:tc>
          <w:tcPr>
            <w:tcW w:w="931" w:type="dxa"/>
            <w:shd w:val="clear" w:color="auto" w:fill="FFFFFF"/>
          </w:tcPr>
          <w:p w:rsidR="00C51C3B" w:rsidRDefault="00C51C3B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-$5,876,185.59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625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Saldo en Libros</w:t>
            </w:r>
          </w:p>
        </w:tc>
        <w:tc>
          <w:tcPr>
            <w:tcW w:w="931" w:type="dxa"/>
            <w:shd w:val="clear" w:color="auto" w:fill="FFFFFF"/>
          </w:tcPr>
          <w:p w:rsidR="00C51C3B" w:rsidRDefault="00C51C3B">
            <w:pPr>
              <w:framePr w:w="87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$50,356,920.35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625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Cuerpodeltexto2Negrita"/>
              </w:rPr>
              <w:t>Derechos a Recibir Efectivo y Equivalentes</w:t>
            </w:r>
          </w:p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Cuerpodeltexto2Negrita"/>
              </w:rPr>
              <w:t xml:space="preserve">ESF </w:t>
            </w:r>
            <w:r>
              <w:rPr>
                <w:rStyle w:val="Cuerpodeltexto2Negrita"/>
              </w:rPr>
              <w:t>02.-No se tienen registradas Contribuciones por Cobrar.</w:t>
            </w:r>
          </w:p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88" w:lineRule="exact"/>
            </w:pPr>
            <w:r>
              <w:rPr>
                <w:rStyle w:val="Cuerpodeltexto2Negrita"/>
              </w:rPr>
              <w:t>ESF.03.- Cuentas por Cobrar a Empleados</w:t>
            </w:r>
          </w:p>
        </w:tc>
        <w:tc>
          <w:tcPr>
            <w:tcW w:w="93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55" w:wrap="notBeside" w:vAnchor="text" w:hAnchor="text" w:xAlign="center" w:y="1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Cuerpodeltexto21"/>
              </w:rPr>
              <w:t>393,650.00</w:t>
            </w:r>
          </w:p>
        </w:tc>
      </w:tr>
    </w:tbl>
    <w:p w:rsidR="00C51C3B" w:rsidRDefault="002937D5">
      <w:pPr>
        <w:pStyle w:val="Leyendadelatabla0"/>
        <w:framePr w:w="8755" w:wrap="notBeside" w:vAnchor="text" w:hAnchor="text" w:xAlign="center" w:y="1"/>
        <w:shd w:val="clear" w:color="auto" w:fill="auto"/>
      </w:pPr>
      <w:r>
        <w:t>Todos los prestamos por cobrar a empleados, tienen como plazo de recuperación el 31 de diciembre del presente año.</w:t>
      </w:r>
    </w:p>
    <w:p w:rsidR="00C51C3B" w:rsidRDefault="00C51C3B">
      <w:pPr>
        <w:framePr w:w="8755" w:wrap="notBeside" w:vAnchor="text" w:hAnchor="text" w:xAlign="center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2937D5">
      <w:pPr>
        <w:pStyle w:val="Cuerpodeltexto40"/>
        <w:shd w:val="clear" w:color="auto" w:fill="auto"/>
        <w:spacing w:before="279" w:line="288" w:lineRule="exact"/>
        <w:ind w:right="2240"/>
      </w:pPr>
      <w:r>
        <w:t xml:space="preserve">Bienes Disponibles para su </w:t>
      </w:r>
      <w:r>
        <w:t>Transformación o Consumo (inventarios) ESF-04.-Esta nota no aplica por no manejar inventarios.</w:t>
      </w:r>
    </w:p>
    <w:p w:rsidR="00C51C3B" w:rsidRDefault="002937D5">
      <w:pPr>
        <w:pStyle w:val="Cuerpodeltexto40"/>
        <w:shd w:val="clear" w:color="auto" w:fill="auto"/>
        <w:spacing w:line="288" w:lineRule="exact"/>
      </w:pPr>
      <w:r>
        <w:t>ESF-05.-Esta nota no aplica por no manejar Almacén.</w:t>
      </w:r>
    </w:p>
    <w:p w:rsidR="00C51C3B" w:rsidRDefault="002937D5">
      <w:pPr>
        <w:pStyle w:val="Cuerpodeltexto40"/>
        <w:shd w:val="clear" w:color="auto" w:fill="auto"/>
        <w:spacing w:line="288" w:lineRule="exact"/>
        <w:ind w:right="2240"/>
      </w:pPr>
      <w:r>
        <w:t>Aun cuando aparece un saldo en la cuenta de Almacén por un importe de $472,822.87, se trata de un bien inmueb</w:t>
      </w:r>
      <w:r>
        <w:t>le donado en ejercicios anteriores, del cual quedó pendiente hacer los deslindes correspon</w:t>
      </w:r>
      <w:r>
        <w:softHyphen/>
        <w:t>dientes, y está pendiente por lo tanto la aplicación contable definitiva.</w:t>
      </w:r>
    </w:p>
    <w:p w:rsidR="00C51C3B" w:rsidRDefault="002937D5">
      <w:pPr>
        <w:pStyle w:val="Cuerpodeltexto40"/>
        <w:shd w:val="clear" w:color="auto" w:fill="auto"/>
        <w:spacing w:line="288" w:lineRule="exact"/>
        <w:ind w:right="2500" w:firstLine="240"/>
        <w:sectPr w:rsidR="00C51C3B">
          <w:pgSz w:w="12240" w:h="15840"/>
          <w:pgMar w:top="343" w:right="3270" w:bottom="343" w:left="205" w:header="0" w:footer="3" w:gutter="0"/>
          <w:cols w:space="720"/>
          <w:noEndnote/>
          <w:docGrid w:linePitch="360"/>
        </w:sectPr>
      </w:pPr>
      <w:r>
        <w:t>Bienes Muebles, Inmuebles e intangibles ESF 06.- esta nota no aplica por n</w:t>
      </w:r>
      <w:r>
        <w:t>o manejar inversiones financieras. ESF 07.- Esta nota no aplica por no manejar inversiones financieras.</w:t>
      </w:r>
    </w:p>
    <w:p w:rsidR="00C51C3B" w:rsidRDefault="002937D5">
      <w:pPr>
        <w:pStyle w:val="Ttulo10"/>
        <w:keepNext/>
        <w:keepLines/>
        <w:shd w:val="clear" w:color="auto" w:fill="auto"/>
        <w:spacing w:after="0" w:line="240" w:lineRule="exact"/>
      </w:pPr>
      <w:bookmarkStart w:id="0" w:name="bookmark0"/>
      <w:r>
        <w:lastRenderedPageBreak/>
        <w:t>MUNICIPIO DE PROGRESO COAHUILA</w:t>
      </w:r>
      <w:bookmarkEnd w:id="0"/>
    </w:p>
    <w:p w:rsidR="00C51C3B" w:rsidRDefault="002937D5">
      <w:pPr>
        <w:pStyle w:val="Cuerpodeltexto30"/>
        <w:shd w:val="clear" w:color="auto" w:fill="auto"/>
        <w:spacing w:after="0"/>
      </w:pP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 w:line="293" w:lineRule="exact"/>
        <w:jc w:val="right"/>
      </w:pPr>
      <w:r>
        <w:t>hoja 2 de 7</w:t>
      </w:r>
    </w:p>
    <w:p w:rsidR="00C51C3B" w:rsidRDefault="002937D5">
      <w:pPr>
        <w:pStyle w:val="Cuerpodeltexto40"/>
        <w:shd w:val="clear" w:color="auto" w:fill="auto"/>
        <w:spacing w:line="288" w:lineRule="exact"/>
        <w:ind w:right="2800"/>
      </w:pPr>
      <w:r>
        <w:t xml:space="preserve">Bienes Muebles </w:t>
      </w:r>
      <w:r>
        <w:t>Inmuebles e intangibles. ESF-08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6"/>
        <w:gridCol w:w="1291"/>
        <w:gridCol w:w="1416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976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Terrenos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200,000.00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Edificación no Habitacional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3,425,969.47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Muebles de Oficina y Estantería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707,785.83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 de Computo y de Tecnologías de la Información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194,546.59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 xml:space="preserve">Otros Mobiliarios y Equipos de </w:t>
            </w:r>
            <w:r>
              <w:rPr>
                <w:rStyle w:val="Cuerpodeltexto21"/>
              </w:rPr>
              <w:t>Administración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155,964.83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Equipos y aparatos audiovisuales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27,700.00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 medico y de laboratorio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5,000.00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Automóviles y Camiones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4,527,602.40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 de Defensa y Seguridad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491,463.27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 de Comunicación y Telecomunicación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23,130.01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Equipos de Generación Eléctrica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76,494.71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otros Equipos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94,890.34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97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Suma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Negrita"/>
              </w:rPr>
              <w:t>$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683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9,930,547.45</w:t>
            </w:r>
          </w:p>
        </w:tc>
      </w:tr>
    </w:tbl>
    <w:p w:rsidR="00C51C3B" w:rsidRDefault="00C51C3B">
      <w:pPr>
        <w:framePr w:w="8683" w:wrap="notBeside" w:vAnchor="text" w:hAnchor="text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2937D5">
      <w:pPr>
        <w:pStyle w:val="Cuerpodeltexto20"/>
        <w:shd w:val="clear" w:color="auto" w:fill="auto"/>
        <w:spacing w:before="288" w:after="299"/>
        <w:ind w:right="2800"/>
      </w:pPr>
      <w:r>
        <w:t>Los importes arriba expresados reresentan el monto original de la inversión.</w:t>
      </w:r>
    </w:p>
    <w:p w:rsidR="00C51C3B" w:rsidRDefault="002937D5">
      <w:pPr>
        <w:pStyle w:val="Cuerpodeltexto40"/>
        <w:shd w:val="clear" w:color="auto" w:fill="auto"/>
        <w:spacing w:line="210" w:lineRule="exact"/>
      </w:pPr>
      <w:r>
        <w:t>Activos Intangibles</w:t>
      </w:r>
    </w:p>
    <w:p w:rsidR="00C51C3B" w:rsidRDefault="002937D5">
      <w:pPr>
        <w:pStyle w:val="Cuerpodeltexto40"/>
        <w:shd w:val="clear" w:color="auto" w:fill="auto"/>
        <w:spacing w:after="299" w:line="210" w:lineRule="exact"/>
      </w:pPr>
      <w:r>
        <w:t>ESF 09.- El municipio no tiene registrados activos intangibles.</w:t>
      </w:r>
    </w:p>
    <w:p w:rsidR="00C51C3B" w:rsidRDefault="002937D5">
      <w:pPr>
        <w:pStyle w:val="Cuerpodeltexto40"/>
        <w:shd w:val="clear" w:color="auto" w:fill="auto"/>
        <w:spacing w:line="210" w:lineRule="exact"/>
      </w:pPr>
      <w:r>
        <w:t>Estimaciones y Deterioros.</w:t>
      </w:r>
    </w:p>
    <w:p w:rsidR="00C51C3B" w:rsidRDefault="002937D5">
      <w:pPr>
        <w:pStyle w:val="Cuerpodeltexto40"/>
        <w:shd w:val="clear" w:color="auto" w:fill="auto"/>
        <w:spacing w:line="586" w:lineRule="exact"/>
        <w:ind w:right="2660"/>
      </w:pPr>
      <w:r>
        <w:t>ESF 10.- No aplica en virtud de que el municipio no calcula este tipo de estimaciones. Otros Activos.</w:t>
      </w:r>
    </w:p>
    <w:p w:rsidR="00C51C3B" w:rsidRDefault="002937D5">
      <w:pPr>
        <w:pStyle w:val="Cuerpodeltexto40"/>
        <w:shd w:val="clear" w:color="auto" w:fill="auto"/>
        <w:spacing w:line="586" w:lineRule="exact"/>
        <w:ind w:right="2660"/>
      </w:pPr>
      <w:r>
        <w:t>ESF 11.- No aplica por no tener el municipio nada contabilizado en este concepto. Pasivo</w:t>
      </w:r>
    </w:p>
    <w:p w:rsidR="00C51C3B" w:rsidRDefault="002937D5">
      <w:pPr>
        <w:pStyle w:val="Cuerpodeltexto40"/>
        <w:shd w:val="clear" w:color="auto" w:fill="auto"/>
        <w:spacing w:after="233" w:line="210" w:lineRule="exact"/>
      </w:pPr>
      <w:r>
        <w:t>ESF 12.- No se tiene registrado ningún</w:t>
      </w:r>
      <w:r>
        <w:t xml:space="preserve"> pasivo, ni se tiene contratada deuda publica.</w:t>
      </w:r>
    </w:p>
    <w:p w:rsidR="00C51C3B" w:rsidRDefault="002937D5">
      <w:pPr>
        <w:pStyle w:val="Cuerpodeltexto40"/>
        <w:shd w:val="clear" w:color="auto" w:fill="auto"/>
        <w:spacing w:after="306" w:line="293" w:lineRule="exact"/>
        <w:ind w:right="2660"/>
      </w:pPr>
      <w:r>
        <w:t>ESF 13.- No aplica. El municipio no tiene recursos en Fondos de bienes de terceros en administración y/o en garantía a corto y largo plazo.</w:t>
      </w:r>
    </w:p>
    <w:p w:rsidR="00C51C3B" w:rsidRDefault="002937D5">
      <w:pPr>
        <w:pStyle w:val="Cuerpodeltexto40"/>
        <w:shd w:val="clear" w:color="auto" w:fill="auto"/>
        <w:spacing w:after="242" w:line="210" w:lineRule="exact"/>
      </w:pPr>
      <w:r>
        <w:t>ESF 14.- No aplica por no tener el municipio pasivos diferidos.</w:t>
      </w:r>
    </w:p>
    <w:p w:rsidR="00C51C3B" w:rsidRDefault="002937D5">
      <w:pPr>
        <w:pStyle w:val="Cuerpodeltexto40"/>
        <w:shd w:val="clear" w:color="auto" w:fill="auto"/>
        <w:spacing w:line="288" w:lineRule="exact"/>
        <w:ind w:right="2660"/>
        <w:sectPr w:rsidR="00C51C3B">
          <w:pgSz w:w="12240" w:h="15840"/>
          <w:pgMar w:top="302" w:right="1532" w:bottom="302" w:left="210" w:header="0" w:footer="3" w:gutter="0"/>
          <w:cols w:space="720"/>
          <w:noEndnote/>
          <w:docGrid w:linePitch="360"/>
        </w:sectPr>
      </w:pPr>
      <w:r>
        <w:t>II) Notas al Estado de Actividades EA 1.- Ingresos de Gestión</w:t>
      </w:r>
    </w:p>
    <w:p w:rsidR="00C51C3B" w:rsidRDefault="002937D5">
      <w:pPr>
        <w:pStyle w:val="Cuerpodeltexto30"/>
        <w:shd w:val="clear" w:color="auto" w:fill="auto"/>
        <w:spacing w:after="0" w:line="283" w:lineRule="exact"/>
      </w:pPr>
      <w:r>
        <w:rPr>
          <w:rStyle w:val="Cuerpodeltexto312pto"/>
          <w:b/>
          <w:bCs/>
        </w:rPr>
        <w:lastRenderedPageBreak/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/>
        <w:jc w:val="right"/>
      </w:pPr>
      <w:r>
        <w:t>hoja 3 de 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2630"/>
        <w:gridCol w:w="1546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570" w:type="dxa"/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Impuestos</w:t>
            </w:r>
          </w:p>
        </w:tc>
        <w:tc>
          <w:tcPr>
            <w:tcW w:w="2630" w:type="dxa"/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640,616.46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Derechos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127,840.52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Productos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8,965.79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57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Aprovechamientos</w:t>
            </w:r>
          </w:p>
        </w:tc>
        <w:tc>
          <w:tcPr>
            <w:tcW w:w="263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80" w:lineRule="exact"/>
              <w:ind w:left="1100"/>
            </w:pPr>
            <w:r>
              <w:rPr>
                <w:rStyle w:val="Cuerpodeltexto24pto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570" w:type="dxa"/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777,422.77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Participaciones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5,759,185.81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Subsidios y subendones</w:t>
            </w:r>
          </w:p>
        </w:tc>
        <w:tc>
          <w:tcPr>
            <w:tcW w:w="263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10,535,005.00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57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Suma Ingresos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46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17,071,613.58</w:t>
            </w:r>
          </w:p>
        </w:tc>
      </w:tr>
    </w:tbl>
    <w:p w:rsidR="00C51C3B" w:rsidRDefault="00C51C3B">
      <w:pPr>
        <w:framePr w:w="8746" w:wrap="notBeside" w:vAnchor="text" w:hAnchor="text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2937D5">
      <w:pPr>
        <w:pStyle w:val="Cuerpodeltexto40"/>
        <w:shd w:val="clear" w:color="auto" w:fill="auto"/>
        <w:spacing w:before="218"/>
      </w:pPr>
      <w:r>
        <w:t>EA 2.- otros Ingresos</w:t>
      </w:r>
    </w:p>
    <w:p w:rsidR="00C51C3B" w:rsidRDefault="002937D5">
      <w:pPr>
        <w:pStyle w:val="Cuerpodeltexto20"/>
        <w:shd w:val="clear" w:color="auto" w:fill="auto"/>
        <w:spacing w:before="0"/>
        <w:ind w:right="6380"/>
      </w:pPr>
      <w:r>
        <w:t xml:space="preserve">No se obtuvieron ingresos por este concepto. </w:t>
      </w:r>
      <w:r>
        <w:rPr>
          <w:rStyle w:val="Cuerpodeltexto2Negrita0"/>
        </w:rPr>
        <w:t>Gastos y Otras Pérdidas EA 3.-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6"/>
        <w:gridCol w:w="533"/>
        <w:gridCol w:w="1550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686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533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1,792,882.00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Materiales y Suministros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296,044.54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889,931.75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Transferencias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370,209.03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Gastos de Funcionamiento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3,349,067.32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686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/>
            </w:pPr>
            <w:r>
              <w:rPr>
                <w:rStyle w:val="Cuerpodeltexto2Negrita"/>
              </w:rPr>
              <w:t>III) Notas al Estado de Variación en la Hacienda Publica EVHP 1.-</w:t>
            </w:r>
          </w:p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/>
            </w:pPr>
            <w:r>
              <w:rPr>
                <w:rStyle w:val="Cuerpodeltexto21"/>
              </w:rPr>
              <w:t>Resultados del Ejercicio (Ahorro)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13,722,546.26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Negrita"/>
              </w:rPr>
              <w:t>EVHP 2.-</w:t>
            </w:r>
          </w:p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Negrita"/>
              </w:rPr>
              <w:t>procedencia de los recursos que modificaron al patrimonio generado.</w:t>
            </w:r>
          </w:p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777,422.77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686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 xml:space="preserve">Participaciones y </w:t>
            </w:r>
            <w:r>
              <w:rPr>
                <w:rStyle w:val="Cuerpodeltexto21"/>
              </w:rPr>
              <w:t>Aportaciones</w:t>
            </w:r>
          </w:p>
        </w:tc>
        <w:tc>
          <w:tcPr>
            <w:tcW w:w="533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5,759,185.81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/>
            </w:pPr>
            <w:r>
              <w:rPr>
                <w:rStyle w:val="Cuerpodeltexto21"/>
              </w:rPr>
              <w:t>Transferencias, Asignaciones, Subsidios y Otras Ayudas Otros Ingresos y Beneficios</w:t>
            </w:r>
          </w:p>
        </w:tc>
        <w:tc>
          <w:tcPr>
            <w:tcW w:w="533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10,535,005.00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17,071,613.58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686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Gastos y Otras Pérdidas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3,349,067.32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686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variación en la hacienda Publica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70" w:wrap="notBeside" w:vAnchor="text" w:hAnchor="text" w:y="1"/>
              <w:shd w:val="clear" w:color="auto" w:fill="auto"/>
              <w:spacing w:before="0" w:line="210" w:lineRule="exact"/>
              <w:ind w:right="180"/>
              <w:jc w:val="right"/>
            </w:pPr>
            <w:r>
              <w:rPr>
                <w:rStyle w:val="Cuerpodeltexto21"/>
              </w:rPr>
              <w:t>13,722,546.26</w:t>
            </w:r>
          </w:p>
        </w:tc>
      </w:tr>
    </w:tbl>
    <w:p w:rsidR="00C51C3B" w:rsidRDefault="00C51C3B">
      <w:pPr>
        <w:framePr w:w="8770" w:wrap="notBeside" w:vAnchor="text" w:hAnchor="text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  <w:sectPr w:rsidR="00C51C3B">
          <w:pgSz w:w="12240" w:h="15840"/>
          <w:pgMar w:top="322" w:right="1532" w:bottom="322" w:left="220" w:header="0" w:footer="3" w:gutter="0"/>
          <w:cols w:space="720"/>
          <w:noEndnote/>
          <w:docGrid w:linePitch="360"/>
        </w:sectPr>
      </w:pPr>
    </w:p>
    <w:p w:rsidR="00C51C3B" w:rsidRDefault="002937D5">
      <w:pPr>
        <w:pStyle w:val="Cuerpodeltexto30"/>
        <w:shd w:val="clear" w:color="auto" w:fill="auto"/>
        <w:spacing w:after="0" w:line="288" w:lineRule="exact"/>
      </w:pPr>
      <w:r>
        <w:rPr>
          <w:rStyle w:val="Cuerpodeltexto312pto"/>
          <w:b/>
          <w:bCs/>
        </w:rPr>
        <w:lastRenderedPageBreak/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 w:after="318" w:line="210" w:lineRule="exact"/>
        <w:jc w:val="right"/>
      </w:pPr>
      <w:r>
        <w:t>hoja 4 de 7</w:t>
      </w:r>
    </w:p>
    <w:p w:rsidR="00C51C3B" w:rsidRDefault="002937D5">
      <w:pPr>
        <w:pStyle w:val="Leyendadelatabla20"/>
        <w:framePr w:w="8784" w:wrap="notBeside" w:vAnchor="text" w:hAnchor="text" w:y="1"/>
        <w:shd w:val="clear" w:color="auto" w:fill="auto"/>
        <w:spacing w:line="210" w:lineRule="exact"/>
      </w:pPr>
      <w:r>
        <w:t>IV) Notas al Estado de Flujos de Efectivo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9"/>
        <w:gridCol w:w="1714"/>
        <w:gridCol w:w="312"/>
        <w:gridCol w:w="1570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89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EFE 1.-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Cuerpodeltexto2Negrita"/>
              </w:rPr>
              <w:t>2016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380"/>
            </w:pPr>
            <w:r>
              <w:rPr>
                <w:rStyle w:val="Cuerpodeltexto2Negrita"/>
              </w:rPr>
              <w:t>2015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Efectivo en Bancos Tesorería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 xml:space="preserve">$ </w:t>
            </w:r>
            <w:r>
              <w:rPr>
                <w:rStyle w:val="Cuerpodeltexto21"/>
              </w:rPr>
              <w:t>50,376,920.35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15,073,992.87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Efectivo en Bancos dependencias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Inversiones Temporales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Fondos de Afectación especifica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Depósitos de Fondos de Terceros y Otros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89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Total de Efectivo y Equivalentes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$ 50,376,920.35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15,073,992.87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1"/>
              </w:rPr>
              <w:t>EFE 2.-</w:t>
            </w:r>
          </w:p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88" w:lineRule="exact"/>
              <w:ind w:left="200"/>
            </w:pPr>
            <w:r>
              <w:rPr>
                <w:rStyle w:val="Cuerpodeltexto2Negrita"/>
              </w:rPr>
              <w:t>Adquisiciones de Bienes</w:t>
            </w:r>
          </w:p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1"/>
              </w:rPr>
              <w:t xml:space="preserve">Bienes Inmuebles, Infraestructura y Construcciones </w:t>
            </w:r>
            <w:r>
              <w:rPr>
                <w:rStyle w:val="Cuerpodeltexto2Negrita"/>
              </w:rPr>
              <w:t>Edificios no Residenciales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$ 3,425,969.47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1,718,490.74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1714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380"/>
            </w:pPr>
            <w:r>
              <w:rPr>
                <w:rStyle w:val="Cuerpodeltexto21"/>
              </w:rPr>
              <w:t>367,731.69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Suma Adquisiciones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$ 3,425,969.47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2,086,222.43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EFE 3.-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03" w:type="dxa"/>
            <w:gridSpan w:val="2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 xml:space="preserve">Conciliación de los Flujos </w:t>
            </w:r>
            <w:r>
              <w:rPr>
                <w:rStyle w:val="Cuerpodeltexto21"/>
              </w:rPr>
              <w:t>Netos de las actividades de operación y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189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la cuenta de Ahorro /desahorro.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Cuerpodeltexto21"/>
              </w:rPr>
              <w:t>2016</w:t>
            </w:r>
          </w:p>
        </w:tc>
        <w:tc>
          <w:tcPr>
            <w:tcW w:w="312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380"/>
            </w:pPr>
            <w:r>
              <w:rPr>
                <w:rStyle w:val="Cuerpodeltexto21"/>
              </w:rPr>
              <w:t>2015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189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1"/>
              </w:rPr>
              <w:t>Ahorro del periodo</w:t>
            </w:r>
          </w:p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88" w:lineRule="exact"/>
            </w:pPr>
            <w:r>
              <w:rPr>
                <w:rStyle w:val="Cuerpodeltexto21"/>
              </w:rPr>
              <w:t>Movimiento de partidas (o rubros) que no afectan el efectivo</w:t>
            </w:r>
          </w:p>
        </w:tc>
        <w:tc>
          <w:tcPr>
            <w:tcW w:w="1714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$ 13,722,546.26</w:t>
            </w:r>
          </w:p>
        </w:tc>
        <w:tc>
          <w:tcPr>
            <w:tcW w:w="312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3,737,883.67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18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 xml:space="preserve">Incrementos en las </w:t>
            </w:r>
            <w:r>
              <w:rPr>
                <w:rStyle w:val="Cuerpodeltexto21"/>
              </w:rPr>
              <w:t>provisiones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1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incremento en cuentas por cobrar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$ 242,848.00</w:t>
            </w:r>
          </w:p>
        </w:tc>
        <w:tc>
          <w:tcPr>
            <w:tcW w:w="312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left="380"/>
            </w:pPr>
            <w:r>
              <w:rPr>
                <w:rStyle w:val="Cuerpodeltexto21"/>
              </w:rPr>
              <w:t>393,650.00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Ahorro neto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$ 13,479,698.26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4,131,533.67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69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V)Conciliación entre los Ingresos Presupuestarios y Contables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after="60" w:line="210" w:lineRule="exact"/>
            </w:pPr>
            <w:r>
              <w:rPr>
                <w:rStyle w:val="Cuerpodeltexto2Negrita"/>
              </w:rPr>
              <w:t>correspondientes al primer trimestre del ejercicio 2016</w:t>
            </w:r>
          </w:p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60" w:line="210" w:lineRule="exact"/>
            </w:pPr>
            <w:r>
              <w:rPr>
                <w:rStyle w:val="Cuerpodeltexto21"/>
              </w:rPr>
              <w:t xml:space="preserve">Ingresos </w:t>
            </w:r>
            <w:r>
              <w:rPr>
                <w:rStyle w:val="Cuerpodeltexto21"/>
              </w:rPr>
              <w:t>Contables del Periodo</w:t>
            </w:r>
          </w:p>
        </w:tc>
        <w:tc>
          <w:tcPr>
            <w:tcW w:w="1714" w:type="dxa"/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12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17,071,613.58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93" w:lineRule="exact"/>
            </w:pPr>
            <w:r>
              <w:rPr>
                <w:rStyle w:val="Cuerpodeltexto21"/>
              </w:rPr>
              <w:t>Ingresos Contables del Periodo no Presupuéstales FOPADEM</w:t>
            </w:r>
          </w:p>
        </w:tc>
        <w:tc>
          <w:tcPr>
            <w:tcW w:w="171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ind w:right="160"/>
              <w:jc w:val="right"/>
            </w:pPr>
            <w:r>
              <w:rPr>
                <w:rStyle w:val="Cuerpodeltexto21"/>
              </w:rPr>
              <w:t>10,535,005.00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189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Flidrocarburos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8784" w:wrap="notBeside" w:vAnchor="text" w:hAnchor="text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$ 10,535,005.00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</w:tcPr>
          <w:p w:rsidR="00C51C3B" w:rsidRDefault="00C51C3B">
            <w:pPr>
              <w:framePr w:w="878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51C3B" w:rsidRDefault="002937D5">
      <w:pPr>
        <w:pStyle w:val="Leyendadelatabla0"/>
        <w:framePr w:w="8784" w:wrap="notBeside" w:vAnchor="text" w:hAnchor="text" w:y="1"/>
        <w:shd w:val="clear" w:color="auto" w:fill="auto"/>
        <w:tabs>
          <w:tab w:val="left" w:pos="6936"/>
          <w:tab w:val="left" w:pos="7368"/>
        </w:tabs>
        <w:spacing w:line="210" w:lineRule="exact"/>
        <w:jc w:val="both"/>
      </w:pPr>
      <w:r>
        <w:t>Ingresos presupuéstales del periodo</w:t>
      </w:r>
      <w:r>
        <w:tab/>
      </w:r>
      <w:r>
        <w:rPr>
          <w:rStyle w:val="Leyendadelatabla1"/>
        </w:rPr>
        <w:t>$</w:t>
      </w:r>
      <w:r>
        <w:rPr>
          <w:rStyle w:val="Leyendadelatabla1"/>
        </w:rPr>
        <w:tab/>
        <w:t>6,536,608.58</w:t>
      </w:r>
    </w:p>
    <w:p w:rsidR="00C51C3B" w:rsidRDefault="00C51C3B">
      <w:pPr>
        <w:framePr w:w="8784" w:wrap="notBeside" w:vAnchor="text" w:hAnchor="text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  <w:sectPr w:rsidR="00C51C3B">
          <w:pgSz w:w="12240" w:h="15840"/>
          <w:pgMar w:top="339" w:right="1538" w:bottom="339" w:left="214" w:header="0" w:footer="3" w:gutter="0"/>
          <w:cols w:space="720"/>
          <w:noEndnote/>
          <w:docGrid w:linePitch="360"/>
        </w:sectPr>
      </w:pPr>
    </w:p>
    <w:p w:rsidR="00C51C3B" w:rsidRDefault="002937D5">
      <w:pPr>
        <w:pStyle w:val="Ttulo10"/>
        <w:keepNext/>
        <w:keepLines/>
        <w:shd w:val="clear" w:color="auto" w:fill="auto"/>
        <w:spacing w:after="0" w:line="240" w:lineRule="exact"/>
      </w:pPr>
      <w:bookmarkStart w:id="1" w:name="bookmark1"/>
      <w:r>
        <w:lastRenderedPageBreak/>
        <w:t>MUNICIPIO DE PROGRESO COAHUILA</w:t>
      </w:r>
      <w:bookmarkEnd w:id="1"/>
    </w:p>
    <w:p w:rsidR="00C51C3B" w:rsidRDefault="002937D5">
      <w:pPr>
        <w:pStyle w:val="Cuerpodeltexto30"/>
        <w:shd w:val="clear" w:color="auto" w:fill="auto"/>
        <w:spacing w:after="0" w:line="288" w:lineRule="exact"/>
      </w:pP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 w:line="210" w:lineRule="exact"/>
        <w:jc w:val="right"/>
      </w:pPr>
      <w:r>
        <w:t>hoja 5 de 7</w:t>
      </w:r>
    </w:p>
    <w:p w:rsidR="00C51C3B" w:rsidRDefault="002937D5">
      <w:pPr>
        <w:pStyle w:val="Cuerpodeltexto40"/>
        <w:shd w:val="clear" w:color="auto" w:fill="auto"/>
        <w:spacing w:line="288" w:lineRule="exact"/>
        <w:ind w:right="5480"/>
      </w:pPr>
      <w:r>
        <w:t>Conciliación entre Egresos presupuestarios y contables correspondiente al primer trimestre del ejercicio 2016</w:t>
      </w:r>
    </w:p>
    <w:p w:rsidR="00C51C3B" w:rsidRDefault="002937D5">
      <w:pPr>
        <w:pStyle w:val="Cuerpodeltexto20"/>
        <w:shd w:val="clear" w:color="auto" w:fill="auto"/>
        <w:tabs>
          <w:tab w:val="left" w:pos="6936"/>
          <w:tab w:val="left" w:pos="7370"/>
        </w:tabs>
        <w:spacing w:before="0" w:line="288" w:lineRule="exact"/>
        <w:jc w:val="both"/>
      </w:pPr>
      <w:r>
        <w:t>Egresos Contables del periodo</w:t>
      </w:r>
      <w:r>
        <w:tab/>
        <w:t>$</w:t>
      </w:r>
      <w:r>
        <w:tab/>
      </w:r>
      <w:r>
        <w:t>3,349,067.32</w:t>
      </w:r>
    </w:p>
    <w:p w:rsidR="00C51C3B" w:rsidRDefault="002937D5">
      <w:pPr>
        <w:pStyle w:val="Cuerpodeltexto20"/>
        <w:shd w:val="clear" w:color="auto" w:fill="auto"/>
        <w:tabs>
          <w:tab w:val="left" w:pos="6936"/>
        </w:tabs>
        <w:spacing w:before="0" w:line="288" w:lineRule="exact"/>
        <w:jc w:val="both"/>
      </w:pPr>
      <w:r>
        <w:t>Egresos contables del periodo no presupuéstales</w:t>
      </w:r>
      <w:r>
        <w:tab/>
        <w:t>$</w:t>
      </w:r>
    </w:p>
    <w:p w:rsidR="00C51C3B" w:rsidRDefault="002937D5">
      <w:pPr>
        <w:pStyle w:val="Cuerpodeltexto20"/>
        <w:shd w:val="clear" w:color="auto" w:fill="auto"/>
        <w:spacing w:before="0" w:line="288" w:lineRule="exact"/>
        <w:jc w:val="both"/>
      </w:pPr>
      <w:r>
        <w:t>Egresos del Fopadem</w:t>
      </w:r>
    </w:p>
    <w:p w:rsidR="00C51C3B" w:rsidRDefault="002937D5">
      <w:pPr>
        <w:pStyle w:val="Cuerpodeltexto20"/>
        <w:shd w:val="clear" w:color="auto" w:fill="auto"/>
        <w:spacing w:before="0" w:after="302" w:line="288" w:lineRule="exact"/>
        <w:jc w:val="both"/>
      </w:pPr>
      <w:r>
        <w:t>egresos de Comunidades Saludables</w:t>
      </w:r>
    </w:p>
    <w:p w:rsidR="00C51C3B" w:rsidRDefault="002937D5">
      <w:pPr>
        <w:pStyle w:val="Cuerpodeltexto20"/>
        <w:shd w:val="clear" w:color="auto" w:fill="auto"/>
        <w:tabs>
          <w:tab w:val="left" w:pos="6936"/>
          <w:tab w:val="left" w:pos="7370"/>
        </w:tabs>
        <w:spacing w:before="0" w:after="318" w:line="210" w:lineRule="exact"/>
        <w:jc w:val="both"/>
      </w:pPr>
      <w:r>
        <w:t>Egresos Presupuéstales</w:t>
      </w:r>
      <w:r>
        <w:tab/>
        <w:t>$</w:t>
      </w:r>
      <w:r>
        <w:tab/>
        <w:t>3,349,067.32</w:t>
      </w:r>
    </w:p>
    <w:p w:rsidR="00C51C3B" w:rsidRDefault="002937D5">
      <w:pPr>
        <w:pStyle w:val="Leyendadelatabla20"/>
        <w:framePr w:w="10450" w:wrap="notBeside" w:vAnchor="text" w:hAnchor="text" w:xAlign="center" w:y="1"/>
        <w:shd w:val="clear" w:color="auto" w:fill="auto"/>
        <w:spacing w:line="288" w:lineRule="exact"/>
        <w:jc w:val="both"/>
      </w:pPr>
      <w:r>
        <w:t>b) Notas de Memoria (Cuentas de Orden)</w:t>
      </w:r>
    </w:p>
    <w:p w:rsidR="00C51C3B" w:rsidRDefault="002937D5">
      <w:pPr>
        <w:pStyle w:val="Leyendadelatabla20"/>
        <w:framePr w:w="10450" w:wrap="notBeside" w:vAnchor="text" w:hAnchor="text" w:xAlign="center" w:y="1"/>
        <w:shd w:val="clear" w:color="auto" w:fill="auto"/>
        <w:spacing w:line="288" w:lineRule="exact"/>
        <w:jc w:val="both"/>
      </w:pPr>
      <w:r>
        <w:t>Las únicas cuentas de orden que se manejan son las presupuesta</w:t>
      </w:r>
      <w:r>
        <w:t>rias, de las cuales a continuación se presenta el detalle:</w:t>
      </w:r>
    </w:p>
    <w:p w:rsidR="00C51C3B" w:rsidRDefault="002937D5">
      <w:pPr>
        <w:pStyle w:val="Leyendadelatabla20"/>
        <w:framePr w:w="10450" w:wrap="notBeside" w:vAnchor="text" w:hAnchor="text" w:xAlign="center" w:y="1"/>
        <w:shd w:val="clear" w:color="auto" w:fill="auto"/>
        <w:spacing w:line="288" w:lineRule="exact"/>
        <w:jc w:val="both"/>
      </w:pPr>
      <w:r>
        <w:t>Ingresos</w:t>
      </w:r>
    </w:p>
    <w:p w:rsidR="00C51C3B" w:rsidRDefault="002937D5">
      <w:pPr>
        <w:pStyle w:val="Leyendadelatabla0"/>
        <w:framePr w:w="10450" w:wrap="notBeside" w:vAnchor="text" w:hAnchor="text" w:xAlign="center" w:y="1"/>
        <w:shd w:val="clear" w:color="auto" w:fill="auto"/>
        <w:spacing w:line="288" w:lineRule="exact"/>
        <w:jc w:val="both"/>
      </w:pPr>
      <w:r>
        <w:t>Los saldos que arrojan las cuentas de ingresos al final del periodo,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9"/>
        <w:gridCol w:w="542"/>
        <w:gridCol w:w="768"/>
        <w:gridCol w:w="600"/>
        <w:gridCol w:w="1334"/>
        <w:gridCol w:w="394"/>
        <w:gridCol w:w="1454"/>
        <w:gridCol w:w="264"/>
        <w:gridCol w:w="1464"/>
      </w:tblGrid>
      <w:tr w:rsidR="00C51C3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29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son como sigue: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saldo</w:t>
            </w:r>
          </w:p>
        </w:tc>
        <w:tc>
          <w:tcPr>
            <w:tcW w:w="600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Cuerpodeltexto21"/>
              </w:rPr>
              <w:t>saldo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29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Negrita"/>
              </w:rPr>
              <w:t>8.1.1 Ley de ingresos estimada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inicial</w:t>
            </w:r>
          </w:p>
        </w:tc>
        <w:tc>
          <w:tcPr>
            <w:tcW w:w="600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Cuerpodeltexto21"/>
              </w:rPr>
              <w:t>cargos</w:t>
            </w:r>
          </w:p>
        </w:tc>
        <w:tc>
          <w:tcPr>
            <w:tcW w:w="39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left="200"/>
            </w:pPr>
            <w:r>
              <w:rPr>
                <w:rStyle w:val="Cuerpodeltexto21"/>
              </w:rPr>
              <w:t>abonos</w:t>
            </w:r>
          </w:p>
        </w:tc>
        <w:tc>
          <w:tcPr>
            <w:tcW w:w="2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Cuerpodeltexto21"/>
              </w:rPr>
              <w:t>final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 xml:space="preserve">8.1.2 Ley de </w:t>
            </w:r>
            <w:r>
              <w:rPr>
                <w:rStyle w:val="Cuerpodeltexto285pto"/>
              </w:rPr>
              <w:t>Ingresos por ejecutar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0 $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  <w:tc>
          <w:tcPr>
            <w:tcW w:w="39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0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8.1.4 Ley de Ingresos Devengada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0 $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left="1120"/>
            </w:pPr>
            <w:r>
              <w:rPr>
                <w:rStyle w:val="Cuerpodeltexto285pto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8.1.5 Ley de Ingresos Recaudada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left="10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17,071,613.58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629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Cuerpodeltexto28pto"/>
              </w:rPr>
              <w:t>8.2 Presupuesto de Egresos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29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60" w:lineRule="exact"/>
            </w:pPr>
            <w:r>
              <w:rPr>
                <w:rStyle w:val="Cuerpodeltexto28pto"/>
              </w:rPr>
              <w:t xml:space="preserve">son como </w:t>
            </w:r>
            <w:r>
              <w:rPr>
                <w:rStyle w:val="Cuerpodeltexto28pto"/>
              </w:rPr>
              <w:t>sigue:</w:t>
            </w:r>
          </w:p>
        </w:tc>
        <w:tc>
          <w:tcPr>
            <w:tcW w:w="542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8.2.1 Presupuesto de Egresos Aprobado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right="22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left="100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24,371,629.00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24,371,629.00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8.2.2 Presupuesto de Egresos por Ejercer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jc w:val="right"/>
            </w:pPr>
            <w:r>
              <w:rPr>
                <w:rStyle w:val="Cuerpodeltexto21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right="22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24,655,992.84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13,618,128.16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11,037,864,068.00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8.2.3 Presupuesto de Egresos Modificado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271,813.84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284,363.84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12,550.00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8.2.4 Presupuesto de Egresos Comprometido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0..</w:t>
            </w:r>
          </w:p>
        </w:tc>
        <w:tc>
          <w:tcPr>
            <w:tcW w:w="768" w:type="dxa"/>
            <w:shd w:val="clear" w:color="auto" w:fill="FFFFFF"/>
          </w:tcPr>
          <w:p w:rsidR="00C51C3B" w:rsidRDefault="00C51C3B">
            <w:pPr>
              <w:framePr w:w="104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13,346,314.32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9,997,247.00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8.2.5 Presupuesto de Egresos Devengado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768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left="1200"/>
            </w:pPr>
            <w:r>
              <w:rPr>
                <w:rStyle w:val="Cuerpodeltexto285pto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8.2.6 Presupuesto de Egresos Ejercido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210" w:lineRule="exact"/>
              <w:ind w:left="1200"/>
            </w:pPr>
            <w:r>
              <w:rPr>
                <w:rStyle w:val="Cuerpodeltexto21"/>
              </w:rPr>
              <w:t>-</w:t>
            </w:r>
          </w:p>
        </w:tc>
      </w:tr>
      <w:tr w:rsidR="00C51C3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29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8.2.7 Presupuesto d Egresos Pagado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right="220"/>
              <w:jc w:val="righ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  <w:tc>
          <w:tcPr>
            <w:tcW w:w="39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ind w:left="1120"/>
            </w:pPr>
            <w:r>
              <w:rPr>
                <w:rStyle w:val="Cuerpodeltexto285pto"/>
              </w:rPr>
              <w:t>-</w:t>
            </w:r>
          </w:p>
        </w:tc>
        <w:tc>
          <w:tcPr>
            <w:tcW w:w="2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</w:pPr>
            <w:r>
              <w:rPr>
                <w:rStyle w:val="Cuerpodeltexto285pto"/>
              </w:rPr>
              <w:t>$</w:t>
            </w:r>
          </w:p>
        </w:tc>
        <w:tc>
          <w:tcPr>
            <w:tcW w:w="1464" w:type="dxa"/>
            <w:shd w:val="clear" w:color="auto" w:fill="FFFFFF"/>
            <w:vAlign w:val="center"/>
          </w:tcPr>
          <w:p w:rsidR="00C51C3B" w:rsidRDefault="002937D5">
            <w:pPr>
              <w:pStyle w:val="Cuerpodeltexto20"/>
              <w:framePr w:w="10450" w:wrap="notBeside" w:vAnchor="text" w:hAnchor="text" w:xAlign="center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Cuerpodeltexto285pto"/>
              </w:rPr>
              <w:t>3,349,067.32</w:t>
            </w:r>
          </w:p>
        </w:tc>
      </w:tr>
    </w:tbl>
    <w:p w:rsidR="00C51C3B" w:rsidRDefault="00C51C3B">
      <w:pPr>
        <w:framePr w:w="10450" w:wrap="notBeside" w:vAnchor="text" w:hAnchor="text" w:xAlign="center" w:y="1"/>
        <w:rPr>
          <w:sz w:val="2"/>
          <w:szCs w:val="2"/>
        </w:rPr>
      </w:pPr>
    </w:p>
    <w:p w:rsidR="00C51C3B" w:rsidRDefault="00C51C3B">
      <w:pPr>
        <w:rPr>
          <w:sz w:val="2"/>
          <w:szCs w:val="2"/>
        </w:rPr>
      </w:pPr>
    </w:p>
    <w:p w:rsidR="00C51C3B" w:rsidRDefault="002937D5">
      <w:pPr>
        <w:pStyle w:val="Cuerpodeltexto40"/>
        <w:shd w:val="clear" w:color="auto" w:fill="auto"/>
        <w:spacing w:before="221" w:after="242" w:line="210" w:lineRule="exact"/>
        <w:jc w:val="both"/>
      </w:pPr>
      <w:r>
        <w:t>c) Notas de Gestión.</w:t>
      </w:r>
    </w:p>
    <w:p w:rsidR="00C51C3B" w:rsidRDefault="002937D5">
      <w:pPr>
        <w:pStyle w:val="Cuerpodeltexto20"/>
        <w:shd w:val="clear" w:color="auto" w:fill="auto"/>
        <w:spacing w:before="0" w:after="236" w:line="288" w:lineRule="exact"/>
        <w:ind w:right="1800"/>
      </w:pPr>
      <w:r>
        <w:t xml:space="preserve">El municipio de Progreso se encuentra localizado en la parte central del estado de Coahuila, cuenta con aproximadamente 3500 habitantes. Su </w:t>
      </w:r>
      <w:r>
        <w:t>actividad económica es básicamente agricultura y ganadería, cuenta también con mantos de carbón, los cuales son explotados mediante la actividad minera. Adicionalmente fueron encontrados yacimientos de gas natural y petróleo, de cuya explotación el municip</w:t>
      </w:r>
      <w:r>
        <w:t xml:space="preserve">io ha </w:t>
      </w:r>
      <w:r w:rsidR="00FD280D">
        <w:t>empezado</w:t>
      </w:r>
      <w:r>
        <w:t xml:space="preserve"> a recibir ingresos en el ejercicio anterior.</w:t>
      </w:r>
    </w:p>
    <w:p w:rsidR="00C51C3B" w:rsidRDefault="002937D5">
      <w:pPr>
        <w:pStyle w:val="Cuerpodeltexto20"/>
        <w:shd w:val="clear" w:color="auto" w:fill="auto"/>
        <w:spacing w:before="0" w:line="293" w:lineRule="exact"/>
        <w:ind w:right="1800"/>
      </w:pPr>
      <w:r>
        <w:t xml:space="preserve">En el </w:t>
      </w:r>
      <w:r w:rsidR="00FD280D">
        <w:t>artículo</w:t>
      </w:r>
      <w:r>
        <w:t xml:space="preserve"> 158G de la Constitución Política del Estado Libre y Soberano del estado de Coahuila de Zaragoza, se reconoce como municipio el de Progreso.</w:t>
      </w:r>
    </w:p>
    <w:p w:rsidR="00FD280D" w:rsidRDefault="00FD280D">
      <w:pPr>
        <w:pStyle w:val="Cuerpodeltexto30"/>
        <w:shd w:val="clear" w:color="auto" w:fill="auto"/>
        <w:spacing w:after="0" w:line="288" w:lineRule="exact"/>
        <w:rPr>
          <w:rStyle w:val="Cuerpodeltexto312pto"/>
          <w:b/>
          <w:bCs/>
        </w:rPr>
      </w:pPr>
    </w:p>
    <w:p w:rsidR="00FD280D" w:rsidRDefault="00FD280D">
      <w:pPr>
        <w:pStyle w:val="Cuerpodeltexto30"/>
        <w:shd w:val="clear" w:color="auto" w:fill="auto"/>
        <w:spacing w:after="0" w:line="288" w:lineRule="exact"/>
        <w:rPr>
          <w:rStyle w:val="Cuerpodeltexto312pto"/>
          <w:b/>
          <w:bCs/>
        </w:rPr>
      </w:pPr>
    </w:p>
    <w:p w:rsidR="00FD280D" w:rsidRDefault="00FD280D">
      <w:pPr>
        <w:pStyle w:val="Cuerpodeltexto30"/>
        <w:shd w:val="clear" w:color="auto" w:fill="auto"/>
        <w:spacing w:after="0" w:line="288" w:lineRule="exact"/>
        <w:rPr>
          <w:rStyle w:val="Cuerpodeltexto312pto"/>
          <w:b/>
          <w:bCs/>
        </w:rPr>
      </w:pPr>
    </w:p>
    <w:p w:rsidR="00FD280D" w:rsidRDefault="00FD280D">
      <w:pPr>
        <w:pStyle w:val="Cuerpodeltexto30"/>
        <w:shd w:val="clear" w:color="auto" w:fill="auto"/>
        <w:spacing w:after="0" w:line="288" w:lineRule="exact"/>
        <w:rPr>
          <w:rStyle w:val="Cuerpodeltexto312pto"/>
          <w:b/>
          <w:bCs/>
        </w:rPr>
      </w:pPr>
    </w:p>
    <w:p w:rsidR="00FD280D" w:rsidRDefault="00FD280D">
      <w:pPr>
        <w:pStyle w:val="Cuerpodeltexto30"/>
        <w:shd w:val="clear" w:color="auto" w:fill="auto"/>
        <w:spacing w:after="0" w:line="288" w:lineRule="exact"/>
        <w:rPr>
          <w:rStyle w:val="Cuerpodeltexto312pto"/>
          <w:b/>
          <w:bCs/>
        </w:rPr>
      </w:pPr>
    </w:p>
    <w:p w:rsidR="00C51C3B" w:rsidRDefault="002937D5">
      <w:pPr>
        <w:pStyle w:val="Cuerpodeltexto30"/>
        <w:shd w:val="clear" w:color="auto" w:fill="auto"/>
        <w:spacing w:after="0" w:line="288" w:lineRule="exact"/>
      </w:pPr>
      <w:r>
        <w:rPr>
          <w:rStyle w:val="Cuerpodeltexto312pto"/>
          <w:b/>
          <w:bCs/>
        </w:rPr>
        <w:t>MUNICIPIO DE PROGRESO COAHUILA</w:t>
      </w:r>
      <w:r>
        <w:rPr>
          <w:rStyle w:val="Cuerpodeltexto312pto"/>
          <w:b/>
          <w:bCs/>
        </w:rPr>
        <w:br/>
      </w:r>
      <w:r>
        <w:t xml:space="preserve">NOTAS A </w:t>
      </w:r>
      <w:r>
        <w:t>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 w:after="784" w:line="288" w:lineRule="exact"/>
        <w:jc w:val="right"/>
      </w:pPr>
      <w:r>
        <w:t>hoja 6 de 7</w:t>
      </w:r>
    </w:p>
    <w:p w:rsidR="00C51C3B" w:rsidRDefault="002937D5">
      <w:pPr>
        <w:pStyle w:val="Cuerpodeltexto20"/>
        <w:shd w:val="clear" w:color="auto" w:fill="auto"/>
        <w:spacing w:before="0" w:after="240"/>
        <w:ind w:right="1200"/>
      </w:pPr>
      <w:r>
        <w:t>La administración está a cargo del ayuntamiento, el cual constituye la autoridad máxima , y dispone de un órgano ejecutivo, a cargo del presidente municipal, q</w:t>
      </w:r>
      <w:r>
        <w:t xml:space="preserve">uien es responsable ante el ayuntamiento mismo. Todo ello está regulado por el </w:t>
      </w:r>
      <w:r w:rsidR="00FD280D">
        <w:t>código</w:t>
      </w:r>
      <w:r>
        <w:t xml:space="preserve"> municipal, </w:t>
      </w:r>
      <w:r w:rsidR="00FD280D">
        <w:t>código</w:t>
      </w:r>
      <w:r>
        <w:t xml:space="preserve"> financiero y otros ordenamientos emanados de la Constitución Política del estado.</w:t>
      </w:r>
    </w:p>
    <w:p w:rsidR="00C51C3B" w:rsidRDefault="002937D5">
      <w:pPr>
        <w:pStyle w:val="Cuerpodeltexto20"/>
        <w:shd w:val="clear" w:color="auto" w:fill="auto"/>
        <w:spacing w:before="0" w:after="244"/>
        <w:ind w:right="1300"/>
      </w:pPr>
      <w:r>
        <w:t xml:space="preserve">Consta además de un departamento de Tesorería, de Obras </w:t>
      </w:r>
      <w:r w:rsidR="00FD280D">
        <w:t>Públicas</w:t>
      </w:r>
      <w:r>
        <w:t xml:space="preserve">, Dif </w:t>
      </w:r>
      <w:r>
        <w:t xml:space="preserve">Municipal, Seguridad </w:t>
      </w:r>
      <w:r w:rsidR="00FD280D">
        <w:t>Pública</w:t>
      </w:r>
      <w:r>
        <w:t xml:space="preserve">, Desarrollo Social, Secretario de Ayuntamiento, Protección Civil y Cuerpo </w:t>
      </w:r>
      <w:r w:rsidR="00FD280D">
        <w:t>Edilicio</w:t>
      </w:r>
      <w:r>
        <w:t>.</w:t>
      </w:r>
    </w:p>
    <w:p w:rsidR="00C51C3B" w:rsidRDefault="002937D5">
      <w:pPr>
        <w:pStyle w:val="Cuerpodeltexto20"/>
        <w:shd w:val="clear" w:color="auto" w:fill="auto"/>
        <w:spacing w:before="0" w:after="236" w:line="278" w:lineRule="exact"/>
        <w:ind w:right="1300"/>
      </w:pPr>
      <w:r>
        <w:t>El municipio tiene como Ingresos Impuestos, Derechos, Productos, Aprovechamientos, y Participaciones Sobre impuestos Federales básicamente.</w:t>
      </w:r>
    </w:p>
    <w:p w:rsidR="00C51C3B" w:rsidRDefault="002937D5">
      <w:pPr>
        <w:pStyle w:val="Cuerpodeltexto20"/>
        <w:shd w:val="clear" w:color="auto" w:fill="auto"/>
        <w:spacing w:before="0" w:after="236"/>
        <w:ind w:right="1300"/>
      </w:pPr>
      <w:r>
        <w:t>Es c</w:t>
      </w:r>
      <w:r>
        <w:t>ausante como retenedor de Impuesto Sobre la Renta en pago de salarios y de Honorarios a Profesionistas, y causante del Impuesto Estatal sobre Nóminas.</w:t>
      </w:r>
    </w:p>
    <w:p w:rsidR="00C51C3B" w:rsidRDefault="002937D5">
      <w:pPr>
        <w:pStyle w:val="Cuerpodeltexto20"/>
        <w:shd w:val="clear" w:color="auto" w:fill="auto"/>
        <w:spacing w:before="0" w:line="288" w:lineRule="exact"/>
        <w:ind w:right="1200"/>
      </w:pPr>
      <w:r>
        <w:t>Desde el ejercicio 2014, inició con la implantación del sistema de Contabilidad Gubernamental, apegándose</w:t>
      </w:r>
      <w:r>
        <w:t xml:space="preserve"> a los lineamientos de la ley de la materia, asi como a las normativas emitidas por el COÑAC.</w:t>
      </w:r>
    </w:p>
    <w:p w:rsidR="00C51C3B" w:rsidRDefault="002937D5">
      <w:pPr>
        <w:pStyle w:val="Cuerpodeltexto20"/>
        <w:shd w:val="clear" w:color="auto" w:fill="auto"/>
        <w:spacing w:before="0" w:line="288" w:lineRule="exact"/>
      </w:pPr>
      <w:r>
        <w:t>Los activos están registrados de acuerdo a su valor histórico, y no se han aplicado depreciaciones.</w:t>
      </w:r>
    </w:p>
    <w:p w:rsidR="00C51C3B" w:rsidRDefault="002937D5">
      <w:pPr>
        <w:pStyle w:val="Cuerpodeltexto20"/>
        <w:shd w:val="clear" w:color="auto" w:fill="auto"/>
        <w:spacing w:before="0" w:after="302" w:line="288" w:lineRule="exact"/>
        <w:ind w:right="1300"/>
      </w:pPr>
      <w:r>
        <w:t>En los estados financieros no se reconocen los efectos de la i</w:t>
      </w:r>
      <w:r>
        <w:t xml:space="preserve">nflación en el valor de los activos, </w:t>
      </w:r>
      <w:r w:rsidR="00FD280D">
        <w:t>así</w:t>
      </w:r>
      <w:r>
        <w:t xml:space="preserve"> como tampoco los pasivos contingentes.</w:t>
      </w:r>
    </w:p>
    <w:p w:rsidR="00C51C3B" w:rsidRDefault="002937D5">
      <w:pPr>
        <w:pStyle w:val="Cuerpodeltexto20"/>
        <w:shd w:val="clear" w:color="auto" w:fill="auto"/>
        <w:spacing w:before="0" w:line="210" w:lineRule="exact"/>
      </w:pPr>
      <w:r>
        <w:t xml:space="preserve">El municipio no efectúa operaciones en moneda extranjera, ni tiene </w:t>
      </w:r>
      <w:r w:rsidR="00FD280D">
        <w:t>contraída</w:t>
      </w:r>
      <w:r>
        <w:t xml:space="preserve"> Deuda Publica.</w:t>
      </w:r>
    </w:p>
    <w:p w:rsidR="00C51C3B" w:rsidRDefault="002937D5">
      <w:pPr>
        <w:pStyle w:val="Cuerpodeltexto20"/>
        <w:shd w:val="clear" w:color="auto" w:fill="auto"/>
        <w:spacing w:before="0" w:after="242" w:line="210" w:lineRule="exact"/>
      </w:pPr>
      <w:r>
        <w:t>El municipio no cuenta con un almacén, por lo cual no maneja inventarios.</w:t>
      </w:r>
    </w:p>
    <w:p w:rsidR="00C51C3B" w:rsidRDefault="002937D5">
      <w:pPr>
        <w:pStyle w:val="Cuerpodeltexto20"/>
        <w:shd w:val="clear" w:color="auto" w:fill="auto"/>
        <w:spacing w:before="0" w:after="302" w:line="288" w:lineRule="exact"/>
        <w:ind w:right="1200"/>
      </w:pPr>
      <w:r>
        <w:t xml:space="preserve">El </w:t>
      </w:r>
      <w:r>
        <w:t>municipio liquida a sus empleados y trabajadores sueldos de acuerdo a su capacidad y responsa</w:t>
      </w:r>
      <w:r>
        <w:softHyphen/>
        <w:t xml:space="preserve">bilidad, y otorga las prestaciones de acuerdo a la ley </w:t>
      </w:r>
      <w:r w:rsidR="00FD280D">
        <w:t>Federal</w:t>
      </w:r>
      <w:r>
        <w:t xml:space="preserve"> del trabajo. Los empleados y trabajado</w:t>
      </w:r>
      <w:r>
        <w:softHyphen/>
        <w:t>res no están afiliados a ninguna institución de seguridad s</w:t>
      </w:r>
      <w:r>
        <w:t xml:space="preserve">ocial, ni se </w:t>
      </w:r>
      <w:r w:rsidR="00FD280D">
        <w:t>está</w:t>
      </w:r>
      <w:r>
        <w:t xml:space="preserve"> haciendo ninguna aportación para fondos de jubilación.</w:t>
      </w:r>
    </w:p>
    <w:p w:rsidR="00C51C3B" w:rsidRDefault="002937D5">
      <w:pPr>
        <w:pStyle w:val="Cuerpodeltexto20"/>
        <w:shd w:val="clear" w:color="auto" w:fill="auto"/>
        <w:spacing w:before="0" w:after="256" w:line="210" w:lineRule="exact"/>
      </w:pPr>
      <w:r>
        <w:t>el municipio no ha formado ninguna provisión ni reserva.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299"/>
        </w:tabs>
        <w:spacing w:before="0" w:line="288" w:lineRule="exact"/>
        <w:ind w:right="1300"/>
      </w:pPr>
      <w:r>
        <w:t xml:space="preserve">- Durante el primer trimestre de 2016 no se aplicó depreciación contablemente, se tiene preparado en papeles de trabajo dicho </w:t>
      </w:r>
      <w:r>
        <w:t>cálculo, con el propósito de hacer dicha aplicación durante</w:t>
      </w:r>
    </w:p>
    <w:p w:rsidR="00C51C3B" w:rsidRDefault="002937D5">
      <w:pPr>
        <w:pStyle w:val="Cuerpodeltexto20"/>
        <w:shd w:val="clear" w:color="auto" w:fill="auto"/>
        <w:spacing w:before="0" w:after="236" w:line="288" w:lineRule="exact"/>
      </w:pPr>
      <w:r>
        <w:t>el presente ejercicio.</w:t>
      </w:r>
    </w:p>
    <w:p w:rsidR="00C51C3B" w:rsidRDefault="002937D5">
      <w:pPr>
        <w:pStyle w:val="Cuerpodeltexto20"/>
        <w:shd w:val="clear" w:color="auto" w:fill="auto"/>
        <w:spacing w:before="0" w:line="293" w:lineRule="exact"/>
        <w:ind w:right="1200"/>
      </w:pPr>
      <w:r>
        <w:t xml:space="preserve">No realizó el municipio inversiones en valores durante el primer trimestre del ejercicio 2016, ni cuenta con organismos descentralizados, ni de participación mayoritaria ni </w:t>
      </w:r>
      <w:r>
        <w:t>minoritaria.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299"/>
        </w:tabs>
        <w:spacing w:before="0" w:line="293" w:lineRule="exact"/>
        <w:jc w:val="both"/>
      </w:pPr>
      <w:r>
        <w:t>- El municipio no tiene ningún fideicomiso contratado.</w:t>
      </w:r>
      <w:r>
        <w:br w:type="page"/>
      </w:r>
    </w:p>
    <w:p w:rsidR="00C51C3B" w:rsidRDefault="002937D5">
      <w:pPr>
        <w:pStyle w:val="Cuerpodeltexto30"/>
        <w:shd w:val="clear" w:color="auto" w:fill="auto"/>
        <w:spacing w:after="0"/>
      </w:pPr>
      <w:r>
        <w:rPr>
          <w:rStyle w:val="Cuerpodeltexto312pto"/>
          <w:b/>
          <w:bCs/>
        </w:rPr>
        <w:lastRenderedPageBreak/>
        <w:t>MUNICIPIO DE PROGRESO COAHUILA</w:t>
      </w:r>
      <w:r>
        <w:rPr>
          <w:rStyle w:val="Cuerpodeltexto312pto"/>
          <w:b/>
          <w:bCs/>
        </w:rPr>
        <w:br/>
      </w:r>
      <w:r>
        <w:t>NOTAS A LOS ESTADOS FINANCIEROS</w:t>
      </w:r>
      <w:r>
        <w:br/>
        <w:t>AVANCE DE GESTIÓN FINANCIERA</w:t>
      </w:r>
      <w:r>
        <w:br/>
        <w:t>PRIMER TRIMESTRE EJERCICIO 2016</w:t>
      </w:r>
    </w:p>
    <w:p w:rsidR="00C51C3B" w:rsidRDefault="002937D5">
      <w:pPr>
        <w:pStyle w:val="Cuerpodeltexto20"/>
        <w:shd w:val="clear" w:color="auto" w:fill="auto"/>
        <w:spacing w:before="0" w:after="846" w:line="210" w:lineRule="exact"/>
        <w:jc w:val="right"/>
      </w:pPr>
      <w:r>
        <w:t>hoja 7 de 7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54"/>
        </w:tabs>
        <w:spacing w:before="0"/>
        <w:ind w:right="880"/>
      </w:pPr>
      <w:r>
        <w:t xml:space="preserve">- durante el primer trimestre de 2016 se tuvo una </w:t>
      </w:r>
      <w:r>
        <w:t>notable disminución en la recaudación de impuestos, en relación con el mismo periodo del ejercicio anterior, esto lo atribuimos a la recesión que es notoria</w:t>
      </w:r>
    </w:p>
    <w:p w:rsidR="00C51C3B" w:rsidRDefault="00FD280D">
      <w:pPr>
        <w:pStyle w:val="Cuerpodeltexto20"/>
        <w:shd w:val="clear" w:color="auto" w:fill="auto"/>
        <w:spacing w:before="0"/>
        <w:jc w:val="both"/>
      </w:pPr>
      <w:r>
        <w:t>En</w:t>
      </w:r>
      <w:r w:rsidR="002937D5">
        <w:t xml:space="preserve"> la economía.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299"/>
        <w:jc w:val="both"/>
      </w:pPr>
      <w:r>
        <w:t xml:space="preserve">- El municipio no tiene </w:t>
      </w:r>
      <w:r w:rsidR="00FD280D">
        <w:t>contraída</w:t>
      </w:r>
      <w:r>
        <w:t xml:space="preserve"> deuda pública.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246" w:line="210" w:lineRule="exact"/>
        <w:jc w:val="both"/>
      </w:pPr>
      <w:r>
        <w:t>- El municipio no ha realizado nin</w:t>
      </w:r>
      <w:r>
        <w:t>guna gestión que implique una calificación crediticia.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63"/>
        </w:tabs>
        <w:spacing w:before="0" w:after="236"/>
        <w:ind w:right="1360"/>
      </w:pPr>
      <w:r>
        <w:t xml:space="preserve">- se está procediendo a mejorar el control interno de acuerdo a la evaluación recibida por nuestro </w:t>
      </w:r>
      <w:r w:rsidR="00FD280D">
        <w:t>Auditor</w:t>
      </w:r>
      <w:r>
        <w:t xml:space="preserve"> Externo.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59"/>
        </w:tabs>
        <w:spacing w:before="0" w:after="240" w:line="288" w:lineRule="exact"/>
        <w:ind w:right="1360"/>
      </w:pPr>
      <w:r>
        <w:t>- No se presenta la información financiera segmentada, ya que el municipio no tiene g</w:t>
      </w:r>
      <w:r>
        <w:t>ran diversidad de actividades, sino únicamente las que le atañen como municipio.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49"/>
        </w:tabs>
        <w:spacing w:before="0" w:after="602" w:line="288" w:lineRule="exact"/>
        <w:ind w:right="2140"/>
      </w:pPr>
      <w:r>
        <w:t>- No se visualiza ningún acto ocurrido posteriormente al cierre del trimestre que afecte la información financiera presentada.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54"/>
        </w:tabs>
        <w:spacing w:before="0" w:after="542" w:line="210" w:lineRule="exact"/>
        <w:jc w:val="both"/>
      </w:pPr>
      <w:r>
        <w:t xml:space="preserve">- Partes Relacionadas.- El municipio no ha </w:t>
      </w:r>
      <w:r>
        <w:t>realizado operaciones con ninguna parte relacionada.</w:t>
      </w:r>
    </w:p>
    <w:p w:rsidR="00C51C3B" w:rsidRDefault="002937D5">
      <w:pPr>
        <w:pStyle w:val="Cuerpodeltexto20"/>
        <w:numPr>
          <w:ilvl w:val="0"/>
          <w:numId w:val="1"/>
        </w:numPr>
        <w:shd w:val="clear" w:color="auto" w:fill="auto"/>
        <w:tabs>
          <w:tab w:val="left" w:pos="454"/>
        </w:tabs>
        <w:spacing w:before="0" w:line="288" w:lineRule="exact"/>
      </w:pPr>
      <w:r>
        <w:t>- Bajo protesta de decir verdad, declaramos que los estados financieros y sus notas, son razonablemente correctos, y son responsabilidad del emisor.</w:t>
      </w:r>
    </w:p>
    <w:p w:rsidR="00C51C3B" w:rsidRDefault="00C51C3B">
      <w:pPr>
        <w:rPr>
          <w:sz w:val="2"/>
          <w:szCs w:val="2"/>
        </w:rPr>
      </w:pPr>
    </w:p>
    <w:p w:rsidR="00C51C3B" w:rsidRDefault="00FD280D" w:rsidP="00FD280D">
      <w:pPr>
        <w:pStyle w:val="Cuerpodeltexto50"/>
        <w:shd w:val="clear" w:color="auto" w:fill="auto"/>
        <w:tabs>
          <w:tab w:val="left" w:pos="2587"/>
        </w:tabs>
        <w:spacing w:before="666" w:line="280" w:lineRule="exact"/>
      </w:pPr>
      <w:r>
        <w:rPr>
          <w:noProof/>
          <w:lang w:eastAsia="es-MX"/>
        </w:rPr>
        <w:drawing>
          <wp:anchor distT="0" distB="0" distL="114300" distR="114300" simplePos="0" relativeHeight="377488128" behindDoc="0" locked="0" layoutInCell="1" allowOverlap="1">
            <wp:simplePos x="0" y="0"/>
            <wp:positionH relativeFrom="margin">
              <wp:posOffset>933450</wp:posOffset>
            </wp:positionH>
            <wp:positionV relativeFrom="margin">
              <wp:posOffset>5780405</wp:posOffset>
            </wp:positionV>
            <wp:extent cx="5215255" cy="1409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bookmarkStart w:id="2" w:name="_GoBack"/>
      <w:bookmarkEnd w:id="2"/>
    </w:p>
    <w:sectPr w:rsidR="00C51C3B">
      <w:pgSz w:w="12240" w:h="15840"/>
      <w:pgMar w:top="307" w:right="1539" w:bottom="2215" w:left="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D5" w:rsidRDefault="002937D5">
      <w:r>
        <w:separator/>
      </w:r>
    </w:p>
  </w:endnote>
  <w:endnote w:type="continuationSeparator" w:id="0">
    <w:p w:rsidR="002937D5" w:rsidRDefault="0029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D5" w:rsidRDefault="002937D5"/>
  </w:footnote>
  <w:footnote w:type="continuationSeparator" w:id="0">
    <w:p w:rsidR="002937D5" w:rsidRDefault="002937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44A27"/>
    <w:multiLevelType w:val="multilevel"/>
    <w:tmpl w:val="E99804BC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3B"/>
    <w:rsid w:val="002937D5"/>
    <w:rsid w:val="00C51C3B"/>
    <w:rsid w:val="00F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12pto">
    <w:name w:val="Cuerpo del texto (3) + 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pto">
    <w:name w:val="Cuerpo del texto (2) + 8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Cuerpodeltexto54pto">
    <w:name w:val="Cuerpo del texto (5) + 4 pto"/>
    <w:aliases w:val="Cursiva,Espaciado 0 pto"/>
    <w:basedOn w:val="Cuerpodeltexto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line="283" w:lineRule="exact"/>
    </w:pPr>
    <w:rPr>
      <w:rFonts w:ascii="Calibri" w:eastAsia="Calibri" w:hAnsi="Calibri" w:cs="Calibri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240" w:line="293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3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78" w:lineRule="exact"/>
    </w:pPr>
    <w:rPr>
      <w:rFonts w:ascii="Calibri" w:eastAsia="Calibri" w:hAnsi="Calibri" w:cs="Calibri"/>
      <w:sz w:val="21"/>
      <w:szCs w:val="2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60" w:line="0" w:lineRule="atLeast"/>
      <w:jc w:val="both"/>
    </w:pPr>
    <w:rPr>
      <w:rFonts w:ascii="Calibri" w:eastAsia="Calibri" w:hAnsi="Calibri" w:cs="Calibri"/>
      <w:spacing w:val="-20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80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0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312pto">
    <w:name w:val="Cuerpo del texto (3) + 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">
    <w:name w:val="Leyenda de la tabla_"/>
    <w:basedOn w:val="Fuentedeprrafopredeter"/>
    <w:link w:val="Leyendadelatabl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Negrita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Negrita0">
    <w:name w:val="Cuerpo del texto (2) + 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1">
    <w:name w:val="Leyenda de la tabla"/>
    <w:basedOn w:val="Leyendadelatabl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pto">
    <w:name w:val="Cuerpo del texto (2) + 8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Cuerpodeltexto54pto">
    <w:name w:val="Cuerpo del texto (5) + 4 pto"/>
    <w:aliases w:val="Cursiva,Espaciado 0 pto"/>
    <w:basedOn w:val="Cuerpodeltexto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240" w:line="283" w:lineRule="exact"/>
    </w:pPr>
    <w:rPr>
      <w:rFonts w:ascii="Calibri" w:eastAsia="Calibri" w:hAnsi="Calibri" w:cs="Calibri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240" w:line="293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3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278" w:lineRule="exact"/>
    </w:pPr>
    <w:rPr>
      <w:rFonts w:ascii="Calibri" w:eastAsia="Calibri" w:hAnsi="Calibri" w:cs="Calibri"/>
      <w:sz w:val="21"/>
      <w:szCs w:val="21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60" w:line="0" w:lineRule="atLeast"/>
      <w:jc w:val="both"/>
    </w:pPr>
    <w:rPr>
      <w:rFonts w:ascii="Calibri" w:eastAsia="Calibri" w:hAnsi="Calibri" w:cs="Calibri"/>
      <w:spacing w:val="-20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80D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0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2017-05-15T19:51:00Z</dcterms:created>
  <dcterms:modified xsi:type="dcterms:W3CDTF">2017-05-15T19:59:00Z</dcterms:modified>
</cp:coreProperties>
</file>