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BC2585">
      <w:pPr>
        <w:spacing w:after="0" w:line="240" w:lineRule="auto"/>
        <w:jc w:val="both"/>
      </w:pPr>
    </w:p>
    <w:p w:rsidR="00BC2585" w:rsidRPr="003A4B41" w:rsidRDefault="00BC2585" w:rsidP="00DB591A">
      <w:pPr>
        <w:spacing w:after="0" w:line="240" w:lineRule="auto"/>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3A4B41" w:rsidRPr="003A4B41">
        <w:rPr>
          <w:b/>
        </w:rPr>
        <w:t>Escobedo</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E875D9" w:rsidRPr="00784A74" w:rsidRDefault="00F62740" w:rsidP="00E875D9">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10114" w:type="dxa"/>
        <w:jc w:val="right"/>
        <w:tblInd w:w="51" w:type="dxa"/>
        <w:tblCellMar>
          <w:left w:w="70" w:type="dxa"/>
          <w:right w:w="70" w:type="dxa"/>
        </w:tblCellMar>
        <w:tblLook w:val="04A0"/>
      </w:tblPr>
      <w:tblGrid>
        <w:gridCol w:w="642"/>
        <w:gridCol w:w="2174"/>
        <w:gridCol w:w="3091"/>
        <w:gridCol w:w="2060"/>
        <w:gridCol w:w="2147"/>
      </w:tblGrid>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p>
        </w:tc>
        <w:tc>
          <w:tcPr>
            <w:tcW w:w="2174" w:type="dxa"/>
            <w:tcBorders>
              <w:top w:val="single" w:sz="8" w:space="0" w:color="auto"/>
              <w:left w:val="single" w:sz="8" w:space="0" w:color="auto"/>
              <w:bottom w:val="single" w:sz="8" w:space="0" w:color="auto"/>
              <w:right w:val="single" w:sz="8" w:space="0" w:color="auto"/>
            </w:tcBorders>
            <w:shd w:val="clear" w:color="000000" w:fill="BFBFBF"/>
            <w:hideMark/>
          </w:tcPr>
          <w:p w:rsidR="00134079" w:rsidRPr="00134079" w:rsidRDefault="00134079" w:rsidP="00134079">
            <w:pPr>
              <w:spacing w:after="0" w:line="240" w:lineRule="auto"/>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BANCO  /  CUENTA</w:t>
            </w:r>
          </w:p>
        </w:tc>
        <w:tc>
          <w:tcPr>
            <w:tcW w:w="3091" w:type="dxa"/>
            <w:tcBorders>
              <w:top w:val="single" w:sz="8" w:space="0" w:color="auto"/>
              <w:left w:val="nil"/>
              <w:bottom w:val="single" w:sz="8" w:space="0" w:color="auto"/>
              <w:right w:val="single" w:sz="8" w:space="0" w:color="auto"/>
            </w:tcBorders>
            <w:shd w:val="clear" w:color="000000" w:fill="BFBFBF"/>
            <w:hideMark/>
          </w:tcPr>
          <w:p w:rsidR="00134079" w:rsidRPr="00134079" w:rsidRDefault="00134079" w:rsidP="00134079">
            <w:pPr>
              <w:spacing w:after="0" w:line="240" w:lineRule="auto"/>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DESCRIPCION</w:t>
            </w:r>
          </w:p>
        </w:tc>
        <w:tc>
          <w:tcPr>
            <w:tcW w:w="2060" w:type="dxa"/>
            <w:tcBorders>
              <w:top w:val="single" w:sz="8" w:space="0" w:color="auto"/>
              <w:left w:val="nil"/>
              <w:bottom w:val="single" w:sz="8" w:space="0" w:color="auto"/>
              <w:right w:val="single" w:sz="8" w:space="0" w:color="auto"/>
            </w:tcBorders>
            <w:shd w:val="clear" w:color="000000" w:fill="BFBFBF"/>
            <w:hideMark/>
          </w:tcPr>
          <w:p w:rsidR="00134079" w:rsidRPr="00134079" w:rsidRDefault="00134079" w:rsidP="00134079">
            <w:pPr>
              <w:spacing w:after="0" w:line="240" w:lineRule="auto"/>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IMPORTE</w:t>
            </w:r>
          </w:p>
        </w:tc>
        <w:tc>
          <w:tcPr>
            <w:tcW w:w="2147" w:type="dxa"/>
            <w:tcBorders>
              <w:top w:val="single" w:sz="8" w:space="0" w:color="auto"/>
              <w:left w:val="nil"/>
              <w:bottom w:val="single" w:sz="8" w:space="0" w:color="auto"/>
              <w:right w:val="single" w:sz="8" w:space="0" w:color="auto"/>
            </w:tcBorders>
            <w:shd w:val="clear" w:color="000000" w:fill="BFBFBF"/>
            <w:hideMark/>
          </w:tcPr>
          <w:p w:rsidR="00134079" w:rsidRPr="00134079" w:rsidRDefault="00134079" w:rsidP="00134079">
            <w:pPr>
              <w:spacing w:after="0" w:line="240" w:lineRule="auto"/>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DISPONIBILIDAD</w:t>
            </w:r>
          </w:p>
        </w:tc>
      </w:tr>
      <w:tr w:rsidR="00134079" w:rsidRPr="00134079" w:rsidTr="00134079">
        <w:trPr>
          <w:trHeight w:val="172"/>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1111208</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FONDOS FIJOS DE CAJA - EMPLEADOS</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17,350.00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2.-</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18804660757</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RECURSOS PROPIOS</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58,486.70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3.-</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18804705246</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HIDROCARBUROS</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20,166.52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4.-</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18804708407</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HIDROCARBUROS</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2,221.73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5.-</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18804708636</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MINERO</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1,741.67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296"/>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6.-</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18804981650</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PARTICIPACIONES ENTIDADES FEDERATIVAS O RAMO 28</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982,197.70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7.-</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18804981693</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MINERO</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0.58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8.-</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18804981588</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DE INFRAESTRUCTURA</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253,021.28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9.-</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18804981561</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DE FORTALECIMIENTO</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536,440.39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10.-</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71307208</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DE FORTALECIMIENTO</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243,448.13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11.-</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71306830</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FONDO DE INFRAESTRUCTURA</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73,174.64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11.-</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18814490150</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HIDROCARBUROS</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4,733,252.10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15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12.-</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INVERLAT 18804981855</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INSTANCIA DE LA MUJER</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200,000.00 </w:t>
            </w:r>
          </w:p>
        </w:tc>
        <w:tc>
          <w:tcPr>
            <w:tcW w:w="2147"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296"/>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13.-</w:t>
            </w:r>
          </w:p>
        </w:tc>
        <w:tc>
          <w:tcPr>
            <w:tcW w:w="2174" w:type="dxa"/>
            <w:tcBorders>
              <w:top w:val="nil"/>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1116111</w:t>
            </w:r>
          </w:p>
        </w:tc>
        <w:tc>
          <w:tcPr>
            <w:tcW w:w="3091"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DEPÓSITOS EN GARANTÍA - PRESTADORES DE SERVICIO</w:t>
            </w:r>
          </w:p>
        </w:tc>
        <w:tc>
          <w:tcPr>
            <w:tcW w:w="2060" w:type="dxa"/>
            <w:tcBorders>
              <w:top w:val="nil"/>
              <w:left w:val="nil"/>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76,269.00 </w:t>
            </w:r>
          </w:p>
        </w:tc>
        <w:tc>
          <w:tcPr>
            <w:tcW w:w="2147" w:type="dxa"/>
            <w:tcBorders>
              <w:top w:val="nil"/>
              <w:left w:val="nil"/>
              <w:bottom w:val="nil"/>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 xml:space="preserve"> A LA VISTA </w:t>
            </w:r>
          </w:p>
        </w:tc>
      </w:tr>
      <w:tr w:rsidR="00134079" w:rsidRPr="00134079" w:rsidTr="00134079">
        <w:trPr>
          <w:trHeight w:val="90"/>
          <w:jc w:val="right"/>
        </w:trPr>
        <w:tc>
          <w:tcPr>
            <w:tcW w:w="642" w:type="dxa"/>
            <w:tcBorders>
              <w:top w:val="nil"/>
              <w:left w:val="nil"/>
              <w:bottom w:val="nil"/>
              <w:right w:val="nil"/>
            </w:tcBorders>
            <w:shd w:val="clear" w:color="auto" w:fill="auto"/>
            <w:noWrap/>
            <w:hideMark/>
          </w:tcPr>
          <w:p w:rsidR="00134079" w:rsidRPr="00134079" w:rsidRDefault="00134079" w:rsidP="00134079">
            <w:pPr>
              <w:spacing w:after="0" w:line="240" w:lineRule="auto"/>
              <w:rPr>
                <w:rFonts w:eastAsia="Times New Roman" w:cs="Calibri"/>
                <w:color w:val="000000"/>
                <w:lang w:eastAsia="es-MX"/>
              </w:rPr>
            </w:pPr>
          </w:p>
        </w:tc>
        <w:tc>
          <w:tcPr>
            <w:tcW w:w="5265" w:type="dxa"/>
            <w:gridSpan w:val="2"/>
            <w:tcBorders>
              <w:top w:val="nil"/>
              <w:left w:val="single" w:sz="8" w:space="0" w:color="auto"/>
              <w:bottom w:val="single" w:sz="8" w:space="0" w:color="auto"/>
              <w:right w:val="single" w:sz="8" w:space="0" w:color="000000"/>
            </w:tcBorders>
            <w:shd w:val="clear" w:color="000000" w:fill="BFBFBF"/>
            <w:hideMark/>
          </w:tcPr>
          <w:p w:rsidR="00134079" w:rsidRPr="00134079" w:rsidRDefault="00134079" w:rsidP="00134079">
            <w:pPr>
              <w:spacing w:after="0" w:line="240" w:lineRule="auto"/>
              <w:jc w:val="center"/>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TOTAL EFECTIVO Y EQUIVALENTES</w:t>
            </w:r>
          </w:p>
        </w:tc>
        <w:tc>
          <w:tcPr>
            <w:tcW w:w="2060" w:type="dxa"/>
            <w:tcBorders>
              <w:top w:val="nil"/>
              <w:left w:val="nil"/>
              <w:bottom w:val="single" w:sz="8" w:space="0" w:color="auto"/>
              <w:right w:val="single" w:sz="8" w:space="0" w:color="auto"/>
            </w:tcBorders>
            <w:shd w:val="clear" w:color="000000" w:fill="BFBFBF"/>
            <w:hideMark/>
          </w:tcPr>
          <w:p w:rsidR="00134079" w:rsidRPr="00134079" w:rsidRDefault="00134079" w:rsidP="00134079">
            <w:pPr>
              <w:spacing w:after="0" w:line="240" w:lineRule="auto"/>
              <w:jc w:val="right"/>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$7,197,770.44</w:t>
            </w:r>
          </w:p>
        </w:tc>
        <w:tc>
          <w:tcPr>
            <w:tcW w:w="2147" w:type="dxa"/>
            <w:tcBorders>
              <w:top w:val="single" w:sz="8" w:space="0" w:color="auto"/>
              <w:left w:val="nil"/>
              <w:bottom w:val="single" w:sz="8" w:space="0" w:color="auto"/>
              <w:right w:val="single" w:sz="8" w:space="0" w:color="auto"/>
            </w:tcBorders>
            <w:shd w:val="clear" w:color="000000" w:fill="BFBFBF"/>
            <w:hideMark/>
          </w:tcPr>
          <w:p w:rsidR="00134079" w:rsidRPr="00134079" w:rsidRDefault="00134079" w:rsidP="00134079">
            <w:pPr>
              <w:spacing w:after="0" w:line="240" w:lineRule="auto"/>
              <w:rPr>
                <w:rFonts w:ascii="Arial" w:eastAsia="Times New Roman" w:hAnsi="Arial" w:cs="Arial"/>
                <w:b/>
                <w:bCs/>
                <w:color w:val="000000"/>
                <w:sz w:val="20"/>
                <w:szCs w:val="20"/>
                <w:lang w:eastAsia="es-MX"/>
              </w:rPr>
            </w:pPr>
            <w:r w:rsidRPr="00134079">
              <w:rPr>
                <w:rFonts w:ascii="Arial" w:eastAsia="Times New Roman" w:hAnsi="Arial" w:cs="Arial"/>
                <w:b/>
                <w:bCs/>
                <w:color w:val="000000"/>
                <w:sz w:val="20"/>
                <w:szCs w:val="20"/>
                <w:lang w:eastAsia="es-MX"/>
              </w:rPr>
              <w:t> </w:t>
            </w:r>
          </w:p>
        </w:tc>
      </w:tr>
    </w:tbl>
    <w:p w:rsidR="00E875D9" w:rsidRPr="00784A74" w:rsidRDefault="00F62740" w:rsidP="005E596B">
      <w:pPr>
        <w:jc w:val="both"/>
        <w:rPr>
          <w:rFonts w:cs="Arial-BoldMT"/>
          <w:b/>
          <w:bCs/>
        </w:rPr>
      </w:pPr>
      <w:r w:rsidRPr="00784A74">
        <w:rPr>
          <w:rFonts w:cs="Arial-BoldMT"/>
          <w:b/>
          <w:bCs/>
        </w:rPr>
        <w:lastRenderedPageBreak/>
        <w:t xml:space="preserve">DERECHOS A RECIBIR EFECTIVO Y EQUIVALENTES </w:t>
      </w:r>
    </w:p>
    <w:p w:rsidR="00F72F83"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8557" w:type="dxa"/>
        <w:tblInd w:w="51" w:type="dxa"/>
        <w:tblCellMar>
          <w:left w:w="70" w:type="dxa"/>
          <w:right w:w="70" w:type="dxa"/>
        </w:tblCellMar>
        <w:tblLook w:val="04A0"/>
      </w:tblPr>
      <w:tblGrid>
        <w:gridCol w:w="5977"/>
        <w:gridCol w:w="2580"/>
      </w:tblGrid>
      <w:tr w:rsidR="00134079" w:rsidRPr="00134079" w:rsidTr="00134079">
        <w:trPr>
          <w:trHeight w:val="97"/>
        </w:trPr>
        <w:tc>
          <w:tcPr>
            <w:tcW w:w="5977" w:type="dxa"/>
            <w:tcBorders>
              <w:top w:val="single" w:sz="8" w:space="0" w:color="auto"/>
              <w:left w:val="single" w:sz="8" w:space="0" w:color="auto"/>
              <w:bottom w:val="nil"/>
              <w:right w:val="nil"/>
            </w:tcBorders>
            <w:shd w:val="clear" w:color="000000" w:fill="BFBFBF"/>
            <w:vAlign w:val="bottom"/>
            <w:hideMark/>
          </w:tcPr>
          <w:p w:rsidR="00134079" w:rsidRPr="00134079" w:rsidRDefault="00134079" w:rsidP="00134079">
            <w:pPr>
              <w:spacing w:after="0" w:line="240" w:lineRule="auto"/>
              <w:jc w:val="center"/>
              <w:rPr>
                <w:rFonts w:eastAsia="Times New Roman" w:cs="Calibri"/>
                <w:b/>
                <w:bCs/>
                <w:color w:val="000000"/>
                <w:lang w:eastAsia="es-MX"/>
              </w:rPr>
            </w:pPr>
            <w:r w:rsidRPr="00134079">
              <w:rPr>
                <w:rFonts w:eastAsia="Times New Roman" w:cs="Calibri"/>
                <w:b/>
                <w:bCs/>
                <w:color w:val="000000"/>
                <w:lang w:eastAsia="es-MX"/>
              </w:rPr>
              <w:t>DESCRIPCION DE LA CUENTA</w:t>
            </w:r>
          </w:p>
        </w:tc>
        <w:tc>
          <w:tcPr>
            <w:tcW w:w="2580" w:type="dxa"/>
            <w:tcBorders>
              <w:top w:val="single" w:sz="8" w:space="0" w:color="auto"/>
              <w:left w:val="single" w:sz="8" w:space="0" w:color="auto"/>
              <w:bottom w:val="nil"/>
              <w:right w:val="single" w:sz="8" w:space="0" w:color="auto"/>
            </w:tcBorders>
            <w:shd w:val="clear" w:color="000000" w:fill="BFBFBF"/>
            <w:vAlign w:val="bottom"/>
            <w:hideMark/>
          </w:tcPr>
          <w:p w:rsidR="00134079" w:rsidRPr="00134079" w:rsidRDefault="00134079" w:rsidP="00134079">
            <w:pPr>
              <w:spacing w:after="0" w:line="240" w:lineRule="auto"/>
              <w:jc w:val="center"/>
              <w:rPr>
                <w:rFonts w:eastAsia="Times New Roman" w:cs="Calibri"/>
                <w:b/>
                <w:bCs/>
                <w:color w:val="000000"/>
                <w:lang w:eastAsia="es-MX"/>
              </w:rPr>
            </w:pPr>
            <w:r w:rsidRPr="00134079">
              <w:rPr>
                <w:rFonts w:eastAsia="Times New Roman" w:cs="Calibri"/>
                <w:b/>
                <w:bCs/>
                <w:color w:val="000000"/>
                <w:lang w:eastAsia="es-MX"/>
              </w:rPr>
              <w:t>IMPORTE</w:t>
            </w:r>
          </w:p>
        </w:tc>
      </w:tr>
      <w:tr w:rsidR="00134079" w:rsidRPr="00134079" w:rsidTr="00134079">
        <w:trPr>
          <w:trHeight w:val="241"/>
        </w:trPr>
        <w:tc>
          <w:tcPr>
            <w:tcW w:w="5977" w:type="dxa"/>
            <w:tcBorders>
              <w:top w:val="single" w:sz="8" w:space="0" w:color="auto"/>
              <w:left w:val="single" w:sz="8" w:space="0" w:color="auto"/>
              <w:bottom w:val="single" w:sz="8" w:space="0" w:color="auto"/>
              <w:right w:val="nil"/>
            </w:tcBorders>
            <w:shd w:val="clear" w:color="auto" w:fill="auto"/>
            <w:hideMark/>
          </w:tcPr>
          <w:p w:rsidR="00134079" w:rsidRPr="00134079" w:rsidRDefault="00134079" w:rsidP="00134079">
            <w:pPr>
              <w:spacing w:after="0" w:line="240" w:lineRule="auto"/>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PRÉSTAMOS OTORGADOS A CP AL SECTOR PRIVADO - EMPLEADOS</w:t>
            </w:r>
          </w:p>
        </w:tc>
        <w:tc>
          <w:tcPr>
            <w:tcW w:w="2580" w:type="dxa"/>
            <w:tcBorders>
              <w:top w:val="single" w:sz="8" w:space="0" w:color="auto"/>
              <w:left w:val="single" w:sz="8" w:space="0" w:color="auto"/>
              <w:bottom w:val="single" w:sz="8" w:space="0" w:color="auto"/>
              <w:right w:val="single" w:sz="8" w:space="0" w:color="auto"/>
            </w:tcBorders>
            <w:shd w:val="clear" w:color="auto" w:fill="auto"/>
            <w:hideMark/>
          </w:tcPr>
          <w:p w:rsidR="00134079" w:rsidRPr="00134079" w:rsidRDefault="00134079" w:rsidP="00134079">
            <w:pPr>
              <w:spacing w:after="0" w:line="240" w:lineRule="auto"/>
              <w:jc w:val="right"/>
              <w:rPr>
                <w:rFonts w:ascii="Arial" w:eastAsia="Times New Roman" w:hAnsi="Arial" w:cs="Arial"/>
                <w:color w:val="000000"/>
                <w:sz w:val="20"/>
                <w:szCs w:val="20"/>
                <w:lang w:eastAsia="es-MX"/>
              </w:rPr>
            </w:pPr>
            <w:r w:rsidRPr="00134079">
              <w:rPr>
                <w:rFonts w:ascii="Arial" w:eastAsia="Times New Roman" w:hAnsi="Arial" w:cs="Arial"/>
                <w:color w:val="000000"/>
                <w:sz w:val="20"/>
                <w:szCs w:val="20"/>
                <w:lang w:eastAsia="es-MX"/>
              </w:rPr>
              <w:t>91,672.00</w:t>
            </w:r>
          </w:p>
        </w:tc>
      </w:tr>
      <w:tr w:rsidR="00134079" w:rsidRPr="00134079" w:rsidTr="00134079">
        <w:trPr>
          <w:trHeight w:val="191"/>
        </w:trPr>
        <w:tc>
          <w:tcPr>
            <w:tcW w:w="5977" w:type="dxa"/>
            <w:tcBorders>
              <w:top w:val="nil"/>
              <w:left w:val="single" w:sz="8" w:space="0" w:color="auto"/>
              <w:bottom w:val="single" w:sz="8" w:space="0" w:color="auto"/>
              <w:right w:val="nil"/>
            </w:tcBorders>
            <w:shd w:val="clear" w:color="000000" w:fill="BFBFBF"/>
            <w:vAlign w:val="bottom"/>
            <w:hideMark/>
          </w:tcPr>
          <w:p w:rsidR="00134079" w:rsidRPr="00134079" w:rsidRDefault="00134079" w:rsidP="00134079">
            <w:pPr>
              <w:spacing w:after="0" w:line="240" w:lineRule="auto"/>
              <w:rPr>
                <w:rFonts w:eastAsia="Times New Roman" w:cs="Calibri"/>
                <w:color w:val="000000"/>
                <w:lang w:eastAsia="es-MX"/>
              </w:rPr>
            </w:pPr>
            <w:r w:rsidRPr="00134079">
              <w:rPr>
                <w:rFonts w:eastAsia="Times New Roman" w:cs="Calibri"/>
                <w:color w:val="000000"/>
                <w:lang w:eastAsia="es-MX"/>
              </w:rPr>
              <w:t xml:space="preserve"> TOTAL DERECHOS A RECIBIR EFECTIVO Y EQUIVALENTES </w:t>
            </w:r>
          </w:p>
        </w:tc>
        <w:tc>
          <w:tcPr>
            <w:tcW w:w="2580" w:type="dxa"/>
            <w:tcBorders>
              <w:top w:val="nil"/>
              <w:left w:val="single" w:sz="8" w:space="0" w:color="auto"/>
              <w:bottom w:val="single" w:sz="8" w:space="0" w:color="auto"/>
              <w:right w:val="single" w:sz="8" w:space="0" w:color="auto"/>
            </w:tcBorders>
            <w:shd w:val="clear" w:color="000000" w:fill="BFBFBF"/>
            <w:vAlign w:val="bottom"/>
            <w:hideMark/>
          </w:tcPr>
          <w:p w:rsidR="00134079" w:rsidRPr="00134079" w:rsidRDefault="00134079" w:rsidP="00134079">
            <w:pPr>
              <w:spacing w:after="0" w:line="240" w:lineRule="auto"/>
              <w:jc w:val="right"/>
              <w:rPr>
                <w:rFonts w:eastAsia="Times New Roman" w:cs="Calibri"/>
                <w:color w:val="000000"/>
                <w:lang w:eastAsia="es-MX"/>
              </w:rPr>
            </w:pPr>
            <w:r w:rsidRPr="00134079">
              <w:rPr>
                <w:rFonts w:eastAsia="Times New Roman" w:cs="Calibri"/>
                <w:color w:val="000000"/>
                <w:lang w:eastAsia="es-MX"/>
              </w:rPr>
              <w:t>91,672.00</w:t>
            </w:r>
          </w:p>
        </w:tc>
      </w:tr>
    </w:tbl>
    <w:p w:rsidR="00134079" w:rsidRDefault="00134079" w:rsidP="003050C4">
      <w:pPr>
        <w:jc w:val="both"/>
      </w:pPr>
    </w:p>
    <w:p w:rsidR="00E91591" w:rsidRDefault="00721474" w:rsidP="00D61455">
      <w:pPr>
        <w:jc w:val="both"/>
        <w:rPr>
          <w:color w:val="000000"/>
        </w:rPr>
      </w:pPr>
      <w:r>
        <w:rPr>
          <w:rFonts w:cs="Arial-BoldMT"/>
          <w:b/>
          <w:bCs/>
        </w:rPr>
        <w:t>ESF-03</w:t>
      </w:r>
      <w:r w:rsidRPr="00490887">
        <w:rPr>
          <w:rFonts w:cs="Arial-BoldMT"/>
          <w:bCs/>
        </w:rPr>
        <w:t>.-</w:t>
      </w:r>
      <w:r w:rsidR="00E91591" w:rsidRPr="00E91591">
        <w:rPr>
          <w:rFonts w:cs="Arial-BoldMT"/>
          <w:bCs/>
        </w:rPr>
        <w:t xml:space="preserve"> </w:t>
      </w:r>
      <w:r w:rsidR="00E91591">
        <w:rPr>
          <w:rFonts w:cs="Arial-BoldMT"/>
          <w:bCs/>
        </w:rPr>
        <w:t>“</w:t>
      </w:r>
      <w:r w:rsidR="00E91591" w:rsidRPr="00047A0D">
        <w:rPr>
          <w:rFonts w:cs="Arial-BoldMT"/>
          <w:bCs/>
        </w:rPr>
        <w:t>Esta nota no es aplicable al ente público debido a que no tuvo</w:t>
      </w:r>
      <w:r w:rsidR="00E91591">
        <w:rPr>
          <w:color w:val="000000"/>
        </w:rPr>
        <w:t xml:space="preserve"> </w:t>
      </w:r>
      <w:r w:rsidR="00E91591" w:rsidRPr="00E91591">
        <w:rPr>
          <w:color w:val="000000"/>
        </w:rPr>
        <w:t>derechos a recibir bienes o servicios</w:t>
      </w:r>
      <w:r w:rsidR="00E91591">
        <w:rPr>
          <w:color w:val="000000"/>
        </w:rPr>
        <w:t>”</w:t>
      </w:r>
    </w:p>
    <w:p w:rsidR="00721474" w:rsidRPr="00047A0D" w:rsidRDefault="00721474" w:rsidP="00D61455">
      <w:pPr>
        <w:jc w:val="both"/>
        <w:rPr>
          <w:b/>
          <w:color w:val="000000"/>
        </w:rPr>
      </w:pPr>
      <w:r w:rsidRPr="00047A0D">
        <w:rPr>
          <w:b/>
          <w:color w:val="000000"/>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E875D9"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w:t>
      </w:r>
      <w:r w:rsidR="00375066">
        <w:rPr>
          <w:rFonts w:ascii="Calibri" w:hAnsi="Calibri"/>
          <w:color w:val="000000"/>
          <w:sz w:val="22"/>
          <w:szCs w:val="22"/>
          <w:lang w:val="es-MX"/>
        </w:rPr>
        <w:t>c</w:t>
      </w:r>
      <w:r w:rsidR="009D20AE">
        <w:rPr>
          <w:rFonts w:ascii="Calibri" w:hAnsi="Calibri"/>
          <w:color w:val="000000"/>
          <w:sz w:val="22"/>
          <w:szCs w:val="22"/>
          <w:lang w:val="es-MX"/>
        </w:rPr>
        <w:t>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Pr="00C71EB0" w:rsidRDefault="00F62740" w:rsidP="00BA09EB">
      <w:pPr>
        <w:jc w:val="both"/>
        <w:rPr>
          <w:rFonts w:cs="Arial-BoldMT"/>
          <w:b/>
          <w:bCs/>
        </w:rPr>
      </w:pPr>
      <w:r w:rsidRPr="00C71EB0">
        <w:rPr>
          <w:rFonts w:cs="Arial-BoldMT"/>
          <w:b/>
          <w:bCs/>
        </w:rPr>
        <w:t>BIENES MUEBLES, INMUEBLES E INTANGIBLES</w:t>
      </w:r>
    </w:p>
    <w:p w:rsidR="007061BF" w:rsidRDefault="00A11DD6" w:rsidP="00BA09EB">
      <w:pPr>
        <w:jc w:val="both"/>
      </w:pPr>
      <w:r w:rsidRPr="00C71EB0">
        <w:rPr>
          <w:b/>
        </w:rPr>
        <w:t>ESF 08.-</w:t>
      </w:r>
      <w:r w:rsidRPr="00C71EB0">
        <w:t xml:space="preserve"> </w:t>
      </w:r>
      <w:r w:rsidR="00BA09EB" w:rsidRPr="00C71EB0">
        <w:t>El costo de adquisición de los Activos</w:t>
      </w:r>
      <w:r w:rsidR="00BA09EB" w:rsidRPr="00784A74">
        <w:t xml:space="preserve"> Fijos al 3</w:t>
      </w:r>
      <w:r w:rsidR="00134079">
        <w:t>0</w:t>
      </w:r>
      <w:r w:rsidR="00BC505F">
        <w:t xml:space="preserve"> de</w:t>
      </w:r>
      <w:r w:rsidR="00134079">
        <w:t xml:space="preserve"> Junio</w:t>
      </w:r>
      <w:r w:rsidR="00BA09EB" w:rsidRPr="00784A74">
        <w:t xml:space="preserve"> de 201</w:t>
      </w:r>
      <w:r w:rsidR="003B5936">
        <w:t>7</w:t>
      </w:r>
      <w:r w:rsidR="00BA09EB" w:rsidRPr="00784A74">
        <w:t>, se integra como sigue:</w:t>
      </w:r>
    </w:p>
    <w:p w:rsidR="00134079" w:rsidRDefault="00134079" w:rsidP="00BA09EB">
      <w:pPr>
        <w:jc w:val="both"/>
      </w:pPr>
    </w:p>
    <w:tbl>
      <w:tblPr>
        <w:tblW w:w="8524" w:type="dxa"/>
        <w:jc w:val="center"/>
        <w:tblInd w:w="51" w:type="dxa"/>
        <w:tblCellMar>
          <w:left w:w="70" w:type="dxa"/>
          <w:right w:w="70" w:type="dxa"/>
        </w:tblCellMar>
        <w:tblLook w:val="04A0"/>
      </w:tblPr>
      <w:tblGrid>
        <w:gridCol w:w="6109"/>
        <w:gridCol w:w="2415"/>
      </w:tblGrid>
      <w:tr w:rsidR="009A3637" w:rsidRPr="009A3637" w:rsidTr="009A3637">
        <w:trPr>
          <w:trHeight w:val="188"/>
          <w:jc w:val="center"/>
        </w:trPr>
        <w:tc>
          <w:tcPr>
            <w:tcW w:w="6109" w:type="dxa"/>
            <w:tcBorders>
              <w:top w:val="single" w:sz="8" w:space="0" w:color="auto"/>
              <w:left w:val="single" w:sz="8" w:space="0" w:color="auto"/>
              <w:bottom w:val="single" w:sz="8" w:space="0" w:color="auto"/>
              <w:right w:val="single" w:sz="8" w:space="0" w:color="auto"/>
            </w:tcBorders>
            <w:shd w:val="clear" w:color="000000" w:fill="BFBFBF"/>
            <w:hideMark/>
          </w:tcPr>
          <w:p w:rsidR="009A3637" w:rsidRPr="009A3637" w:rsidRDefault="009A3637" w:rsidP="009A3637">
            <w:pPr>
              <w:spacing w:after="0" w:line="240" w:lineRule="auto"/>
              <w:rPr>
                <w:rFonts w:eastAsia="Times New Roman" w:cs="Calibri"/>
                <w:b/>
                <w:bCs/>
                <w:color w:val="000000"/>
                <w:lang w:eastAsia="es-MX"/>
              </w:rPr>
            </w:pPr>
            <w:r w:rsidRPr="009A3637">
              <w:rPr>
                <w:rFonts w:eastAsia="Times New Roman" w:cs="Calibri"/>
                <w:b/>
                <w:bCs/>
                <w:color w:val="000000"/>
                <w:lang w:eastAsia="es-MX"/>
              </w:rPr>
              <w:t xml:space="preserve">DESCRIPCION DE LA CUENTA </w:t>
            </w:r>
          </w:p>
        </w:tc>
        <w:tc>
          <w:tcPr>
            <w:tcW w:w="2415" w:type="dxa"/>
            <w:tcBorders>
              <w:top w:val="single" w:sz="8" w:space="0" w:color="auto"/>
              <w:left w:val="nil"/>
              <w:bottom w:val="single" w:sz="8" w:space="0" w:color="auto"/>
              <w:right w:val="single" w:sz="8" w:space="0" w:color="auto"/>
            </w:tcBorders>
            <w:shd w:val="clear" w:color="000000" w:fill="BFBFBF"/>
            <w:hideMark/>
          </w:tcPr>
          <w:p w:rsidR="009A3637" w:rsidRPr="009A3637" w:rsidRDefault="009A3637" w:rsidP="009A3637">
            <w:pPr>
              <w:spacing w:after="0" w:line="240" w:lineRule="auto"/>
              <w:rPr>
                <w:rFonts w:eastAsia="Times New Roman" w:cs="Calibri"/>
                <w:b/>
                <w:bCs/>
                <w:color w:val="000000"/>
                <w:lang w:eastAsia="es-MX"/>
              </w:rPr>
            </w:pPr>
            <w:r w:rsidRPr="009A3637">
              <w:rPr>
                <w:rFonts w:eastAsia="Times New Roman" w:cs="Calibri"/>
                <w:b/>
                <w:bCs/>
                <w:color w:val="000000"/>
                <w:lang w:eastAsia="es-MX"/>
              </w:rPr>
              <w:t xml:space="preserve"> IMPORTE </w:t>
            </w:r>
          </w:p>
        </w:tc>
      </w:tr>
      <w:tr w:rsidR="009A3637" w:rsidRPr="009A3637" w:rsidTr="009A3637">
        <w:trPr>
          <w:trHeight w:val="162"/>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TERRENOS</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217,000.00</w:t>
            </w:r>
          </w:p>
        </w:tc>
      </w:tr>
      <w:tr w:rsidR="009A3637" w:rsidRPr="009A3637" w:rsidTr="009A3637">
        <w:trPr>
          <w:trHeight w:val="162"/>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VIVIENDAS</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1,950,696.50</w:t>
            </w:r>
          </w:p>
        </w:tc>
      </w:tr>
      <w:tr w:rsidR="009A3637" w:rsidRPr="009A3637" w:rsidTr="009A3637">
        <w:trPr>
          <w:trHeight w:val="162"/>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Edificios no Habitacionales</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312,000.00</w:t>
            </w:r>
          </w:p>
        </w:tc>
      </w:tr>
      <w:tr w:rsidR="009A3637" w:rsidRPr="009A3637" w:rsidTr="009A3637">
        <w:trPr>
          <w:trHeight w:val="76"/>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EDIFICACIÓN NO HABITACIONAL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15,127,179.27</w:t>
            </w:r>
          </w:p>
        </w:tc>
      </w:tr>
      <w:tr w:rsidR="009A3637" w:rsidRPr="009A3637" w:rsidTr="009A3637">
        <w:trPr>
          <w:trHeight w:val="466"/>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DIVISIÓN DE TERRENOS Y CONSTRUCCIÓN DE OBRAS DE URBANIZACIÓN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915,912.64</w:t>
            </w:r>
          </w:p>
        </w:tc>
      </w:tr>
      <w:tr w:rsidR="009A3637" w:rsidRPr="009A3637" w:rsidTr="009A3637">
        <w:trPr>
          <w:trHeight w:val="86"/>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EDIFICACIÓN HABITACIONAL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627,529.18</w:t>
            </w:r>
          </w:p>
        </w:tc>
      </w:tr>
      <w:tr w:rsidR="009A3637" w:rsidRPr="009A3637" w:rsidTr="009A3637">
        <w:trPr>
          <w:trHeight w:val="210"/>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EDIFICACIÓN NO HABITACIONAL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48,534.00</w:t>
            </w:r>
          </w:p>
        </w:tc>
      </w:tr>
      <w:tr w:rsidR="009A3637" w:rsidRPr="009A3637" w:rsidTr="009A3637">
        <w:trPr>
          <w:trHeight w:val="587"/>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CONSTRUCCIÓN DE OBRAS PARA EL ABASTECIMIENTO DE AGUA, PETRÓLEO, GAS, ELECTRICIDAD Y TELECOMUNICACIONES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622,039.43</w:t>
            </w:r>
          </w:p>
        </w:tc>
      </w:tr>
      <w:tr w:rsidR="009A3637" w:rsidRPr="009A3637" w:rsidTr="009A3637">
        <w:trPr>
          <w:trHeight w:val="466"/>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DIVISIÓN DE TERRENOS Y CONSTRUCCIÓN DE OBRAS DE URBANIZACIÓN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3,656,727.20</w:t>
            </w:r>
          </w:p>
        </w:tc>
      </w:tr>
      <w:tr w:rsidR="009A3637" w:rsidRPr="009A3637" w:rsidTr="009A3637">
        <w:trPr>
          <w:trHeight w:val="31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lastRenderedPageBreak/>
              <w:t>CONSTRUCCIÓN DE VÍAS DE COMUNICACIÓN EN PROCESO</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14,561,830.00</w:t>
            </w:r>
          </w:p>
        </w:tc>
      </w:tr>
      <w:tr w:rsidR="009A3637" w:rsidRPr="009A3637" w:rsidTr="009A3637">
        <w:trPr>
          <w:trHeight w:val="79"/>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MUEBLES DE OFICINA Y ESTANTERÍA</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220,082.58</w:t>
            </w:r>
          </w:p>
        </w:tc>
      </w:tr>
      <w:tr w:rsidR="009A3637" w:rsidRPr="009A3637" w:rsidTr="009A3637">
        <w:trPr>
          <w:trHeight w:val="31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EQUIPO DE CÓMPUTO Y DE TECNOLOGÍAS DE LA INFORMACIÓN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128,687.97</w:t>
            </w:r>
          </w:p>
        </w:tc>
      </w:tr>
      <w:tr w:rsidR="009A3637" w:rsidRPr="009A3637" w:rsidTr="009A3637">
        <w:trPr>
          <w:trHeight w:val="31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OTROS MOBILIARIOS Y EQUIPOS DE ADMINISTRACIÓN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117,201.45</w:t>
            </w:r>
          </w:p>
        </w:tc>
      </w:tr>
      <w:tr w:rsidR="009A3637" w:rsidRPr="009A3637" w:rsidTr="009A3637">
        <w:trPr>
          <w:trHeight w:val="162"/>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AUTOMÓVILES Y CAMIONES</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1,107,592.94</w:t>
            </w:r>
          </w:p>
        </w:tc>
      </w:tr>
      <w:tr w:rsidR="009A3637" w:rsidRPr="009A3637" w:rsidTr="009A3637">
        <w:trPr>
          <w:trHeight w:val="106"/>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EQUIPO DE DEFENSA Y DE SEGURIDAD</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48,106.60</w:t>
            </w:r>
          </w:p>
        </w:tc>
      </w:tr>
      <w:tr w:rsidR="009A3637" w:rsidRPr="009A3637" w:rsidTr="009A3637">
        <w:trPr>
          <w:trHeight w:val="14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MAQUINARIA Y EQUIPO DE CONSTRUCCIÓN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56,750.00</w:t>
            </w:r>
          </w:p>
        </w:tc>
      </w:tr>
      <w:tr w:rsidR="009A3637" w:rsidRPr="009A3637" w:rsidTr="009A3637">
        <w:trPr>
          <w:trHeight w:val="170"/>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EQUIPO DE COMUNICACIÓN Y TELECOMUNICACIÓN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101,759.45</w:t>
            </w:r>
          </w:p>
        </w:tc>
      </w:tr>
      <w:tr w:rsidR="009A3637" w:rsidRPr="009A3637" w:rsidTr="009A3637">
        <w:trPr>
          <w:trHeight w:val="141"/>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HERRAMIENTAS Y MÁQUINAS-HERRAMIENTA</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2,070.00</w:t>
            </w:r>
          </w:p>
        </w:tc>
      </w:tr>
      <w:tr w:rsidR="009A3637" w:rsidRPr="009A3637" w:rsidTr="009A3637">
        <w:trPr>
          <w:trHeight w:val="162"/>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OTROS EQUIPOS</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14,474.52</w:t>
            </w:r>
          </w:p>
        </w:tc>
      </w:tr>
      <w:tr w:rsidR="009A3637" w:rsidRPr="009A3637" w:rsidTr="009A3637">
        <w:trPr>
          <w:trHeight w:val="377"/>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DEPRECIACIÓN ACUMULADA DE MOBILIARIO Y EQUIPO DE ADMINISTRACIÓN</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-80,706.66</w:t>
            </w:r>
          </w:p>
        </w:tc>
      </w:tr>
      <w:tr w:rsidR="009A3637" w:rsidRPr="009A3637" w:rsidTr="009A3637">
        <w:trPr>
          <w:trHeight w:val="31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DEPRECIACIÓN ACUMULADA DE EQUIPO DE TRANSPORTE</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-221,452.08</w:t>
            </w:r>
          </w:p>
        </w:tc>
      </w:tr>
      <w:tr w:rsidR="009A3637" w:rsidRPr="009A3637" w:rsidTr="009A3637">
        <w:trPr>
          <w:trHeight w:val="314"/>
          <w:jc w:val="center"/>
        </w:trPr>
        <w:tc>
          <w:tcPr>
            <w:tcW w:w="6109" w:type="dxa"/>
            <w:tcBorders>
              <w:top w:val="nil"/>
              <w:left w:val="single" w:sz="8" w:space="0" w:color="auto"/>
              <w:bottom w:val="single" w:sz="8" w:space="0" w:color="auto"/>
              <w:right w:val="single" w:sz="8" w:space="0" w:color="auto"/>
            </w:tcBorders>
            <w:shd w:val="clear" w:color="auto" w:fill="auto"/>
            <w:hideMark/>
          </w:tcPr>
          <w:p w:rsidR="009A3637" w:rsidRPr="009A3637" w:rsidRDefault="009A3637" w:rsidP="009A3637">
            <w:pPr>
              <w:spacing w:after="0" w:line="240" w:lineRule="auto"/>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DEPRECIACIÓN ACUMULADA DE EQUIPO DE DEFENSA Y SEGURIDAD</w:t>
            </w:r>
          </w:p>
        </w:tc>
        <w:tc>
          <w:tcPr>
            <w:tcW w:w="2415" w:type="dxa"/>
            <w:tcBorders>
              <w:top w:val="nil"/>
              <w:left w:val="nil"/>
              <w:bottom w:val="single" w:sz="8" w:space="0" w:color="auto"/>
              <w:right w:val="single" w:sz="8" w:space="0" w:color="auto"/>
            </w:tcBorders>
            <w:shd w:val="clear" w:color="auto" w:fill="auto"/>
            <w:hideMark/>
          </w:tcPr>
          <w:p w:rsidR="009A3637" w:rsidRPr="009A3637" w:rsidRDefault="009A3637" w:rsidP="009A3637">
            <w:pPr>
              <w:spacing w:after="0" w:line="240" w:lineRule="auto"/>
              <w:jc w:val="right"/>
              <w:rPr>
                <w:rFonts w:ascii="Arial" w:eastAsia="Times New Roman" w:hAnsi="Arial" w:cs="Arial"/>
                <w:color w:val="000000"/>
                <w:sz w:val="20"/>
                <w:szCs w:val="20"/>
                <w:lang w:eastAsia="es-MX"/>
              </w:rPr>
            </w:pPr>
            <w:r w:rsidRPr="009A3637">
              <w:rPr>
                <w:rFonts w:ascii="Arial" w:eastAsia="Times New Roman" w:hAnsi="Arial" w:cs="Arial"/>
                <w:color w:val="000000"/>
                <w:sz w:val="20"/>
                <w:szCs w:val="20"/>
                <w:lang w:eastAsia="es-MX"/>
              </w:rPr>
              <w:t>-2,447.76</w:t>
            </w:r>
          </w:p>
        </w:tc>
      </w:tr>
      <w:tr w:rsidR="009A3637" w:rsidRPr="009A3637" w:rsidTr="009A3637">
        <w:trPr>
          <w:trHeight w:val="188"/>
          <w:jc w:val="center"/>
        </w:trPr>
        <w:tc>
          <w:tcPr>
            <w:tcW w:w="6109" w:type="dxa"/>
            <w:tcBorders>
              <w:top w:val="nil"/>
              <w:left w:val="single" w:sz="8" w:space="0" w:color="auto"/>
              <w:bottom w:val="single" w:sz="8" w:space="0" w:color="auto"/>
              <w:right w:val="single" w:sz="8" w:space="0" w:color="auto"/>
            </w:tcBorders>
            <w:shd w:val="clear" w:color="000000" w:fill="BFBFBF"/>
            <w:hideMark/>
          </w:tcPr>
          <w:p w:rsidR="009A3637" w:rsidRPr="009A3637" w:rsidRDefault="009A3637" w:rsidP="009A3637">
            <w:pPr>
              <w:spacing w:after="0" w:line="240" w:lineRule="auto"/>
              <w:rPr>
                <w:rFonts w:eastAsia="Times New Roman" w:cs="Calibri"/>
                <w:b/>
                <w:bCs/>
                <w:color w:val="000000"/>
                <w:lang w:eastAsia="es-MX"/>
              </w:rPr>
            </w:pPr>
            <w:r w:rsidRPr="009A3637">
              <w:rPr>
                <w:rFonts w:eastAsia="Times New Roman" w:cs="Calibri"/>
                <w:b/>
                <w:bCs/>
                <w:color w:val="000000"/>
                <w:lang w:eastAsia="es-MX"/>
              </w:rPr>
              <w:t xml:space="preserve">TOTAL ACTIVO NO CIRCULANTE </w:t>
            </w:r>
          </w:p>
        </w:tc>
        <w:tc>
          <w:tcPr>
            <w:tcW w:w="2415" w:type="dxa"/>
            <w:tcBorders>
              <w:top w:val="nil"/>
              <w:left w:val="nil"/>
              <w:bottom w:val="single" w:sz="8" w:space="0" w:color="auto"/>
              <w:right w:val="single" w:sz="8" w:space="0" w:color="auto"/>
            </w:tcBorders>
            <w:shd w:val="clear" w:color="000000" w:fill="BFBFBF"/>
            <w:hideMark/>
          </w:tcPr>
          <w:p w:rsidR="009A3637" w:rsidRPr="009A3637" w:rsidRDefault="009A3637" w:rsidP="009A3637">
            <w:pPr>
              <w:spacing w:after="0" w:line="240" w:lineRule="auto"/>
              <w:jc w:val="right"/>
              <w:rPr>
                <w:rFonts w:eastAsia="Times New Roman" w:cs="Calibri"/>
                <w:b/>
                <w:bCs/>
                <w:color w:val="000000"/>
                <w:lang w:eastAsia="es-MX"/>
              </w:rPr>
            </w:pPr>
            <w:r w:rsidRPr="009A3637">
              <w:rPr>
                <w:rFonts w:eastAsia="Times New Roman" w:cs="Calibri"/>
                <w:b/>
                <w:bCs/>
                <w:color w:val="000000"/>
                <w:lang w:eastAsia="es-MX"/>
              </w:rPr>
              <w:t>39,531,567.23</w:t>
            </w:r>
          </w:p>
        </w:tc>
      </w:tr>
    </w:tbl>
    <w:p w:rsidR="00775367" w:rsidRDefault="00775367" w:rsidP="00775367">
      <w:pPr>
        <w:tabs>
          <w:tab w:val="left" w:pos="3609"/>
        </w:tabs>
        <w:spacing w:after="0" w:line="240" w:lineRule="auto"/>
        <w:jc w:val="both"/>
        <w:rPr>
          <w:b/>
          <w:color w:val="000000"/>
        </w:rPr>
      </w:pPr>
    </w:p>
    <w:p w:rsidR="00E875D9" w:rsidRDefault="00E875D9" w:rsidP="00775367">
      <w:pPr>
        <w:tabs>
          <w:tab w:val="left" w:pos="3609"/>
        </w:tabs>
        <w:spacing w:after="0" w:line="240" w:lineRule="auto"/>
        <w:jc w:val="both"/>
        <w:rPr>
          <w:b/>
          <w:color w:val="000000"/>
        </w:rPr>
      </w:pPr>
    </w:p>
    <w:p w:rsidR="00EB5EEB" w:rsidRPr="00775367" w:rsidRDefault="00775367" w:rsidP="00775367">
      <w:pPr>
        <w:tabs>
          <w:tab w:val="left" w:pos="3609"/>
        </w:tabs>
        <w:spacing w:after="0" w:line="240" w:lineRule="auto"/>
        <w:jc w:val="both"/>
        <w:rPr>
          <w:rFonts w:cs="Arial-BoldMT"/>
          <w:b/>
          <w:bCs/>
        </w:rPr>
      </w:pPr>
      <w:r>
        <w:rPr>
          <w:b/>
          <w:color w:val="000000"/>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EB5EEB" w:rsidRPr="00CD06C4" w:rsidTr="006908F6">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2</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3.3</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BIENES MUEBLES</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33.3</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Equipo de Transporte</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20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bl>
    <w:p w:rsidR="00EB5EEB" w:rsidRPr="00784A74" w:rsidRDefault="00EB5EEB" w:rsidP="00EB5EEB">
      <w:pPr>
        <w:spacing w:after="0" w:line="240" w:lineRule="auto"/>
        <w:jc w:val="both"/>
        <w:rPr>
          <w:rFonts w:cs="Arial-BoldMT"/>
          <w:bCs/>
        </w:rPr>
      </w:pPr>
    </w:p>
    <w:p w:rsidR="00A11DD6" w:rsidRPr="0060093F" w:rsidRDefault="00A11DD6" w:rsidP="0060093F">
      <w:pPr>
        <w:spacing w:after="0" w:line="240" w:lineRule="auto"/>
        <w:jc w:val="both"/>
        <w:rPr>
          <w:b/>
        </w:rPr>
      </w:pPr>
      <w:r w:rsidRPr="00047A0D">
        <w:rPr>
          <w:b/>
          <w:color w:val="000000"/>
        </w:rPr>
        <w:lastRenderedPageBreak/>
        <w:t>ESF 09.-</w:t>
      </w:r>
      <w:r w:rsidRPr="00047A0D">
        <w:rPr>
          <w:color w:val="000000"/>
        </w:rPr>
        <w:t xml:space="preserve"> </w:t>
      </w:r>
      <w:r w:rsidRPr="00721474">
        <w:rPr>
          <w:rFonts w:cs="Arial-BoldMT"/>
          <w:bCs/>
        </w:rPr>
        <w:t>“Esta nota no es aplicable al ente público debido a que no tuvo</w:t>
      </w:r>
      <w:r w:rsidRPr="00A11DD6">
        <w:rPr>
          <w:color w:val="000000"/>
        </w:rPr>
        <w:t xml:space="preserve"> </w:t>
      </w:r>
      <w:r w:rsidRPr="00047A0D">
        <w:rPr>
          <w:color w:val="000000"/>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E875D9"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254378">
        <w:t>0</w:t>
      </w:r>
      <w:r w:rsidR="00ED086E">
        <w:t xml:space="preserve"> </w:t>
      </w:r>
      <w:r w:rsidR="00B2794F" w:rsidRPr="00784A74">
        <w:t>de</w:t>
      </w:r>
      <w:r w:rsidR="00254378">
        <w:t xml:space="preserve"> Junio</w:t>
      </w:r>
      <w:r w:rsidR="00A86168">
        <w:t xml:space="preserve"> </w:t>
      </w:r>
      <w:r w:rsidR="00E91591">
        <w:t>de 2017</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BD6934" w:rsidRDefault="00BD6934" w:rsidP="008F599B">
      <w:pPr>
        <w:spacing w:after="0" w:line="240" w:lineRule="auto"/>
        <w:jc w:val="both"/>
      </w:pPr>
    </w:p>
    <w:tbl>
      <w:tblPr>
        <w:tblW w:w="6940" w:type="dxa"/>
        <w:tblInd w:w="51" w:type="dxa"/>
        <w:tblCellMar>
          <w:left w:w="70" w:type="dxa"/>
          <w:right w:w="70" w:type="dxa"/>
        </w:tblCellMar>
        <w:tblLook w:val="04A0"/>
      </w:tblPr>
      <w:tblGrid>
        <w:gridCol w:w="3840"/>
        <w:gridCol w:w="1200"/>
        <w:gridCol w:w="1900"/>
      </w:tblGrid>
      <w:tr w:rsidR="00254378" w:rsidRPr="00254378" w:rsidTr="00254378">
        <w:trPr>
          <w:trHeight w:val="551"/>
        </w:trPr>
        <w:tc>
          <w:tcPr>
            <w:tcW w:w="3840" w:type="dxa"/>
            <w:tcBorders>
              <w:top w:val="single" w:sz="8" w:space="0" w:color="auto"/>
              <w:left w:val="single" w:sz="8" w:space="0" w:color="auto"/>
              <w:bottom w:val="nil"/>
              <w:right w:val="single" w:sz="8" w:space="0" w:color="auto"/>
            </w:tcBorders>
            <w:shd w:val="clear" w:color="000000" w:fill="BFBFBF"/>
            <w:hideMark/>
          </w:tcPr>
          <w:p w:rsidR="00254378" w:rsidRPr="00254378" w:rsidRDefault="00254378" w:rsidP="00254378">
            <w:pPr>
              <w:spacing w:after="0" w:line="240" w:lineRule="auto"/>
              <w:rPr>
                <w:rFonts w:ascii="Arial" w:eastAsia="Times New Roman" w:hAnsi="Arial" w:cs="Arial"/>
                <w:b/>
                <w:bCs/>
                <w:color w:val="000000"/>
                <w:sz w:val="20"/>
                <w:szCs w:val="20"/>
                <w:lang w:eastAsia="es-MX"/>
              </w:rPr>
            </w:pPr>
            <w:r w:rsidRPr="00254378">
              <w:rPr>
                <w:rFonts w:ascii="Arial" w:eastAsia="Times New Roman" w:hAnsi="Arial" w:cs="Arial"/>
                <w:b/>
                <w:bCs/>
                <w:color w:val="000000"/>
                <w:sz w:val="20"/>
                <w:szCs w:val="20"/>
                <w:lang w:eastAsia="es-MX"/>
              </w:rPr>
              <w:t>DESCRIPCION DE LA CUENTA</w:t>
            </w:r>
          </w:p>
        </w:tc>
        <w:tc>
          <w:tcPr>
            <w:tcW w:w="1200" w:type="dxa"/>
            <w:tcBorders>
              <w:top w:val="single" w:sz="8" w:space="0" w:color="auto"/>
              <w:left w:val="nil"/>
              <w:bottom w:val="nil"/>
              <w:right w:val="single" w:sz="8" w:space="0" w:color="auto"/>
            </w:tcBorders>
            <w:shd w:val="clear" w:color="000000" w:fill="BFBFBF"/>
            <w:hideMark/>
          </w:tcPr>
          <w:p w:rsidR="00254378" w:rsidRPr="00254378" w:rsidRDefault="00254378" w:rsidP="00254378">
            <w:pPr>
              <w:spacing w:after="0" w:line="240" w:lineRule="auto"/>
              <w:rPr>
                <w:rFonts w:ascii="Arial" w:eastAsia="Times New Roman" w:hAnsi="Arial" w:cs="Arial"/>
                <w:b/>
                <w:bCs/>
                <w:color w:val="000000"/>
                <w:sz w:val="20"/>
                <w:szCs w:val="20"/>
                <w:lang w:eastAsia="es-MX"/>
              </w:rPr>
            </w:pPr>
            <w:r w:rsidRPr="00254378">
              <w:rPr>
                <w:rFonts w:ascii="Arial" w:eastAsia="Times New Roman" w:hAnsi="Arial" w:cs="Arial"/>
                <w:b/>
                <w:bCs/>
                <w:color w:val="000000"/>
                <w:sz w:val="20"/>
                <w:szCs w:val="20"/>
                <w:lang w:eastAsia="es-MX"/>
              </w:rPr>
              <w:t>IMPORTE</w:t>
            </w:r>
          </w:p>
        </w:tc>
        <w:tc>
          <w:tcPr>
            <w:tcW w:w="1900" w:type="dxa"/>
            <w:tcBorders>
              <w:top w:val="single" w:sz="8" w:space="0" w:color="auto"/>
              <w:left w:val="nil"/>
              <w:bottom w:val="nil"/>
              <w:right w:val="single" w:sz="8" w:space="0" w:color="auto"/>
            </w:tcBorders>
            <w:shd w:val="clear" w:color="000000" w:fill="BFBFBF"/>
            <w:hideMark/>
          </w:tcPr>
          <w:p w:rsidR="00254378" w:rsidRPr="00254378" w:rsidRDefault="00254378" w:rsidP="00254378">
            <w:pPr>
              <w:spacing w:after="0" w:line="240" w:lineRule="auto"/>
              <w:rPr>
                <w:rFonts w:ascii="Arial" w:eastAsia="Times New Roman" w:hAnsi="Arial" w:cs="Arial"/>
                <w:b/>
                <w:bCs/>
                <w:color w:val="000000"/>
                <w:sz w:val="20"/>
                <w:szCs w:val="20"/>
                <w:lang w:eastAsia="es-MX"/>
              </w:rPr>
            </w:pPr>
            <w:r w:rsidRPr="00254378">
              <w:rPr>
                <w:rFonts w:ascii="Arial" w:eastAsia="Times New Roman" w:hAnsi="Arial" w:cs="Arial"/>
                <w:b/>
                <w:bCs/>
                <w:color w:val="000000"/>
                <w:sz w:val="20"/>
                <w:szCs w:val="20"/>
                <w:lang w:eastAsia="es-MX"/>
              </w:rPr>
              <w:t>VENCIMIENTO MENOR O IGUAL A 365 DÍAS</w:t>
            </w:r>
          </w:p>
        </w:tc>
      </w:tr>
      <w:tr w:rsidR="00254378" w:rsidRPr="00254378" w:rsidTr="00254378">
        <w:trPr>
          <w:trHeight w:val="270"/>
        </w:trPr>
        <w:tc>
          <w:tcPr>
            <w:tcW w:w="3840" w:type="dxa"/>
            <w:tcBorders>
              <w:top w:val="single" w:sz="8" w:space="0" w:color="auto"/>
              <w:left w:val="single" w:sz="8" w:space="0" w:color="auto"/>
              <w:bottom w:val="single" w:sz="8" w:space="0" w:color="auto"/>
              <w:right w:val="nil"/>
            </w:tcBorders>
            <w:shd w:val="clear" w:color="auto" w:fill="auto"/>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RETENCION I.S.P.T.</w:t>
            </w:r>
          </w:p>
        </w:tc>
        <w:tc>
          <w:tcPr>
            <w:tcW w:w="1200" w:type="dxa"/>
            <w:tcBorders>
              <w:top w:val="single" w:sz="8" w:space="0" w:color="auto"/>
              <w:left w:val="single" w:sz="8" w:space="0" w:color="auto"/>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85140.25</w:t>
            </w:r>
          </w:p>
        </w:tc>
        <w:tc>
          <w:tcPr>
            <w:tcW w:w="1900" w:type="dxa"/>
            <w:tcBorders>
              <w:top w:val="single" w:sz="8" w:space="0" w:color="auto"/>
              <w:left w:val="nil"/>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85140.25</w:t>
            </w:r>
          </w:p>
        </w:tc>
      </w:tr>
      <w:tr w:rsidR="00254378" w:rsidRPr="00254378" w:rsidTr="00254378">
        <w:trPr>
          <w:trHeight w:val="270"/>
        </w:trPr>
        <w:tc>
          <w:tcPr>
            <w:tcW w:w="3840" w:type="dxa"/>
            <w:tcBorders>
              <w:top w:val="nil"/>
              <w:left w:val="single" w:sz="8" w:space="0" w:color="auto"/>
              <w:bottom w:val="single" w:sz="8" w:space="0" w:color="auto"/>
              <w:right w:val="nil"/>
            </w:tcBorders>
            <w:shd w:val="clear" w:color="auto" w:fill="auto"/>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RETENCION CAJA AHORRO</w:t>
            </w:r>
          </w:p>
        </w:tc>
        <w:tc>
          <w:tcPr>
            <w:tcW w:w="1200" w:type="dxa"/>
            <w:tcBorders>
              <w:top w:val="nil"/>
              <w:left w:val="single" w:sz="8" w:space="0" w:color="auto"/>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28402</w:t>
            </w:r>
          </w:p>
        </w:tc>
        <w:tc>
          <w:tcPr>
            <w:tcW w:w="1900" w:type="dxa"/>
            <w:tcBorders>
              <w:top w:val="nil"/>
              <w:left w:val="nil"/>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28402</w:t>
            </w:r>
          </w:p>
        </w:tc>
      </w:tr>
      <w:tr w:rsidR="00254378" w:rsidRPr="00254378" w:rsidTr="00254378">
        <w:trPr>
          <w:trHeight w:val="270"/>
        </w:trPr>
        <w:tc>
          <w:tcPr>
            <w:tcW w:w="3840" w:type="dxa"/>
            <w:tcBorders>
              <w:top w:val="nil"/>
              <w:left w:val="single" w:sz="8" w:space="0" w:color="auto"/>
              <w:bottom w:val="single" w:sz="8" w:space="0" w:color="auto"/>
              <w:right w:val="nil"/>
            </w:tcBorders>
            <w:shd w:val="clear" w:color="auto" w:fill="auto"/>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RETENCION IMPULSORA PROMOBIEN</w:t>
            </w:r>
          </w:p>
        </w:tc>
        <w:tc>
          <w:tcPr>
            <w:tcW w:w="1200" w:type="dxa"/>
            <w:tcBorders>
              <w:top w:val="nil"/>
              <w:left w:val="single" w:sz="8" w:space="0" w:color="auto"/>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27762.08</w:t>
            </w:r>
          </w:p>
        </w:tc>
        <w:tc>
          <w:tcPr>
            <w:tcW w:w="1900" w:type="dxa"/>
            <w:tcBorders>
              <w:top w:val="nil"/>
              <w:left w:val="nil"/>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27762.08</w:t>
            </w:r>
          </w:p>
        </w:tc>
      </w:tr>
      <w:tr w:rsidR="00254378" w:rsidRPr="00254378" w:rsidTr="00254378">
        <w:trPr>
          <w:trHeight w:val="270"/>
        </w:trPr>
        <w:tc>
          <w:tcPr>
            <w:tcW w:w="3840" w:type="dxa"/>
            <w:tcBorders>
              <w:top w:val="nil"/>
              <w:left w:val="single" w:sz="8" w:space="0" w:color="auto"/>
              <w:bottom w:val="single" w:sz="8" w:space="0" w:color="auto"/>
              <w:right w:val="nil"/>
            </w:tcBorders>
            <w:shd w:val="clear" w:color="auto" w:fill="auto"/>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RETENCION ISR HONORARIOS</w:t>
            </w:r>
          </w:p>
        </w:tc>
        <w:tc>
          <w:tcPr>
            <w:tcW w:w="1200" w:type="dxa"/>
            <w:tcBorders>
              <w:top w:val="nil"/>
              <w:left w:val="single" w:sz="8" w:space="0" w:color="auto"/>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10550.71</w:t>
            </w:r>
          </w:p>
        </w:tc>
        <w:tc>
          <w:tcPr>
            <w:tcW w:w="1900" w:type="dxa"/>
            <w:tcBorders>
              <w:top w:val="nil"/>
              <w:left w:val="nil"/>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10550.71</w:t>
            </w:r>
          </w:p>
        </w:tc>
      </w:tr>
      <w:tr w:rsidR="00254378" w:rsidRPr="00254378" w:rsidTr="00254378">
        <w:trPr>
          <w:trHeight w:val="270"/>
        </w:trPr>
        <w:tc>
          <w:tcPr>
            <w:tcW w:w="3840" w:type="dxa"/>
            <w:tcBorders>
              <w:top w:val="nil"/>
              <w:left w:val="single" w:sz="8" w:space="0" w:color="auto"/>
              <w:bottom w:val="single" w:sz="8" w:space="0" w:color="auto"/>
              <w:right w:val="nil"/>
            </w:tcBorders>
            <w:shd w:val="clear" w:color="auto" w:fill="auto"/>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I.V.C.</w:t>
            </w:r>
          </w:p>
        </w:tc>
        <w:tc>
          <w:tcPr>
            <w:tcW w:w="1200" w:type="dxa"/>
            <w:tcBorders>
              <w:top w:val="nil"/>
              <w:left w:val="single" w:sz="8" w:space="0" w:color="auto"/>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64661.7</w:t>
            </w:r>
          </w:p>
        </w:tc>
        <w:tc>
          <w:tcPr>
            <w:tcW w:w="1900" w:type="dxa"/>
            <w:tcBorders>
              <w:top w:val="nil"/>
              <w:left w:val="nil"/>
              <w:bottom w:val="single" w:sz="8" w:space="0" w:color="auto"/>
              <w:right w:val="single" w:sz="8" w:space="0" w:color="auto"/>
            </w:tcBorders>
            <w:shd w:val="clear" w:color="auto" w:fill="auto"/>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64661.7</w:t>
            </w:r>
          </w:p>
        </w:tc>
      </w:tr>
      <w:tr w:rsidR="00254378" w:rsidRPr="00254378" w:rsidTr="00254378">
        <w:trPr>
          <w:trHeight w:val="270"/>
        </w:trPr>
        <w:tc>
          <w:tcPr>
            <w:tcW w:w="3840" w:type="dxa"/>
            <w:tcBorders>
              <w:top w:val="nil"/>
              <w:left w:val="single" w:sz="8" w:space="0" w:color="auto"/>
              <w:bottom w:val="single" w:sz="8" w:space="0" w:color="auto"/>
              <w:right w:val="single" w:sz="8" w:space="0" w:color="auto"/>
            </w:tcBorders>
            <w:shd w:val="clear" w:color="000000" w:fill="BFBFBF"/>
            <w:hideMark/>
          </w:tcPr>
          <w:p w:rsidR="00254378" w:rsidRPr="00254378" w:rsidRDefault="00254378" w:rsidP="00254378">
            <w:pPr>
              <w:spacing w:after="0" w:line="240" w:lineRule="auto"/>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 xml:space="preserve"> TOTAL PASIVO </w:t>
            </w:r>
          </w:p>
        </w:tc>
        <w:tc>
          <w:tcPr>
            <w:tcW w:w="1200" w:type="dxa"/>
            <w:tcBorders>
              <w:top w:val="nil"/>
              <w:left w:val="nil"/>
              <w:bottom w:val="single" w:sz="8" w:space="0" w:color="auto"/>
              <w:right w:val="single" w:sz="8" w:space="0" w:color="auto"/>
            </w:tcBorders>
            <w:shd w:val="clear" w:color="000000" w:fill="BFBFBF"/>
            <w:noWrap/>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216,516.74</w:t>
            </w:r>
          </w:p>
        </w:tc>
        <w:tc>
          <w:tcPr>
            <w:tcW w:w="1900" w:type="dxa"/>
            <w:tcBorders>
              <w:top w:val="nil"/>
              <w:left w:val="nil"/>
              <w:bottom w:val="single" w:sz="8" w:space="0" w:color="auto"/>
              <w:right w:val="single" w:sz="8" w:space="0" w:color="auto"/>
            </w:tcBorders>
            <w:shd w:val="clear" w:color="000000" w:fill="BFBFBF"/>
            <w:noWrap/>
            <w:hideMark/>
          </w:tcPr>
          <w:p w:rsidR="00254378" w:rsidRPr="00254378" w:rsidRDefault="00254378" w:rsidP="00254378">
            <w:pPr>
              <w:spacing w:after="0" w:line="240" w:lineRule="auto"/>
              <w:jc w:val="right"/>
              <w:rPr>
                <w:rFonts w:ascii="Arial" w:eastAsia="Times New Roman" w:hAnsi="Arial" w:cs="Arial"/>
                <w:color w:val="000000"/>
                <w:sz w:val="20"/>
                <w:szCs w:val="20"/>
                <w:lang w:eastAsia="es-MX"/>
              </w:rPr>
            </w:pPr>
            <w:r w:rsidRPr="00254378">
              <w:rPr>
                <w:rFonts w:ascii="Arial" w:eastAsia="Times New Roman" w:hAnsi="Arial" w:cs="Arial"/>
                <w:color w:val="000000"/>
                <w:sz w:val="20"/>
                <w:szCs w:val="20"/>
                <w:lang w:eastAsia="es-MX"/>
              </w:rPr>
              <w:t>216,516.74</w:t>
            </w:r>
          </w:p>
        </w:tc>
      </w:tr>
    </w:tbl>
    <w:p w:rsidR="00A11DD6" w:rsidRP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ESF 13.-</w:t>
      </w:r>
      <w:r w:rsidRPr="00A11DD6">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Fondos de Bienes de Terceros en Administración y/o en Garantía a corto y largo plazo</w:t>
      </w:r>
      <w:r>
        <w:rPr>
          <w:rFonts w:ascii="Calibri" w:hAnsi="Calibri"/>
          <w:color w:val="000000"/>
          <w:sz w:val="22"/>
          <w:szCs w:val="22"/>
          <w:lang w:val="es-MX"/>
        </w:rPr>
        <w:t>”.</w:t>
      </w:r>
    </w:p>
    <w:p w:rsid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 xml:space="preserve">ESF 14.-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pasivos diferidos</w:t>
      </w:r>
      <w:r>
        <w:rPr>
          <w:rFonts w:ascii="Calibri" w:hAnsi="Calibri"/>
          <w:color w:val="000000"/>
          <w:sz w:val="22"/>
          <w:szCs w:val="22"/>
          <w:lang w:val="es-MX"/>
        </w:rPr>
        <w:t>”.</w:t>
      </w: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875D9" w:rsidRDefault="00E875D9"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DA3243"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Los ingresos totales de gestión del 01 de</w:t>
      </w:r>
      <w:r w:rsidR="00254378">
        <w:rPr>
          <w:rFonts w:cs="Arial-BoldMT"/>
          <w:bCs/>
        </w:rPr>
        <w:t xml:space="preserve"> Abril</w:t>
      </w:r>
      <w:r w:rsidR="00A86168">
        <w:rPr>
          <w:rFonts w:cs="Arial-BoldMT"/>
          <w:bCs/>
        </w:rPr>
        <w:t xml:space="preserve"> </w:t>
      </w:r>
      <w:r w:rsidR="00ED02A3" w:rsidRPr="00C04D0E">
        <w:rPr>
          <w:rFonts w:cs="Arial-BoldMT"/>
          <w:bCs/>
        </w:rPr>
        <w:t xml:space="preserve"> </w:t>
      </w:r>
      <w:r w:rsidR="00254378">
        <w:rPr>
          <w:rFonts w:cs="Arial-BoldMT"/>
          <w:bCs/>
        </w:rPr>
        <w:t>al 30</w:t>
      </w:r>
      <w:r w:rsidR="00EA2DCD">
        <w:rPr>
          <w:rFonts w:cs="Arial-BoldMT"/>
          <w:bCs/>
        </w:rPr>
        <w:t xml:space="preserve"> de </w:t>
      </w:r>
      <w:r w:rsidR="00254378">
        <w:rPr>
          <w:rFonts w:cs="Arial-BoldMT"/>
          <w:bCs/>
        </w:rPr>
        <w:t xml:space="preserve">Junio </w:t>
      </w:r>
      <w:r w:rsidR="00A86168">
        <w:rPr>
          <w:rFonts w:cs="Arial-BoldMT"/>
          <w:bCs/>
        </w:rPr>
        <w:t>de 2017</w:t>
      </w:r>
      <w:r w:rsidR="00ED02A3" w:rsidRPr="00C04D0E">
        <w:rPr>
          <w:rFonts w:cs="Arial-BoldMT"/>
          <w:bCs/>
        </w:rPr>
        <w:t xml:space="preserve"> corresponden en un </w:t>
      </w:r>
      <w:r w:rsidR="0087669F">
        <w:rPr>
          <w:rFonts w:cs="Arial-BoldMT"/>
          <w:bCs/>
        </w:rPr>
        <w:t xml:space="preserve">   99</w:t>
      </w:r>
      <w:r w:rsidR="00ED02A3" w:rsidRPr="00C04D0E">
        <w:rPr>
          <w:rFonts w:cs="Arial-BoldMT"/>
          <w:bCs/>
        </w:rPr>
        <w:t>% a las parti</w:t>
      </w:r>
      <w:r w:rsidR="00C645E2">
        <w:rPr>
          <w:rFonts w:cs="Arial-BoldMT"/>
          <w:bCs/>
        </w:rPr>
        <w:t>cipaciones del gobierno federal</w:t>
      </w:r>
      <w:r w:rsidR="00985C75">
        <w:rPr>
          <w:rFonts w:cs="Arial-BoldMT"/>
          <w:bCs/>
        </w:rPr>
        <w:t xml:space="preserve"> así como de subsidios y subvenciones</w:t>
      </w:r>
      <w:r w:rsidR="00ED02A3" w:rsidRPr="00C04D0E">
        <w:rPr>
          <w:rFonts w:cs="Arial-BoldMT"/>
          <w:bCs/>
        </w:rPr>
        <w:t xml:space="preserve"> y a un</w:t>
      </w:r>
      <w:r w:rsidR="00C85CEB" w:rsidRPr="00C04D0E">
        <w:rPr>
          <w:rFonts w:cs="Arial-BoldMT"/>
          <w:bCs/>
        </w:rPr>
        <w:t xml:space="preserve"> </w:t>
      </w:r>
      <w:r w:rsidR="0087669F">
        <w:rPr>
          <w:rFonts w:cs="Arial-BoldMT"/>
          <w:bCs/>
        </w:rPr>
        <w:t>1</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985C75">
        <w:rPr>
          <w:rFonts w:cs="Arial-BoldMT"/>
          <w:bCs/>
        </w:rPr>
        <w:t>impuestos al patrimonio, accesorios de impuestos, derechos por prestación de servicios, otros derechos y otros aprovechamientos.</w:t>
      </w:r>
    </w:p>
    <w:p w:rsidR="00DA3243" w:rsidRDefault="00DA3243" w:rsidP="00DA3243">
      <w:pPr>
        <w:spacing w:after="0" w:line="240" w:lineRule="auto"/>
        <w:jc w:val="both"/>
        <w:rPr>
          <w:rFonts w:cs="Arial-BoldMT"/>
          <w:b/>
          <w:bCs/>
        </w:rPr>
      </w:pPr>
    </w:p>
    <w:tbl>
      <w:tblPr>
        <w:tblW w:w="7382" w:type="dxa"/>
        <w:tblInd w:w="51" w:type="dxa"/>
        <w:tblCellMar>
          <w:left w:w="70" w:type="dxa"/>
          <w:right w:w="70" w:type="dxa"/>
        </w:tblCellMar>
        <w:tblLook w:val="04A0"/>
      </w:tblPr>
      <w:tblGrid>
        <w:gridCol w:w="5959"/>
        <w:gridCol w:w="1423"/>
      </w:tblGrid>
      <w:tr w:rsidR="0087669F" w:rsidRPr="0087669F" w:rsidTr="0087669F">
        <w:trPr>
          <w:trHeight w:val="153"/>
        </w:trPr>
        <w:tc>
          <w:tcPr>
            <w:tcW w:w="5959"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87669F" w:rsidRPr="0087669F" w:rsidRDefault="0087669F" w:rsidP="0087669F">
            <w:pPr>
              <w:spacing w:after="0" w:line="240" w:lineRule="auto"/>
              <w:jc w:val="center"/>
              <w:rPr>
                <w:rFonts w:eastAsia="Times New Roman" w:cs="Calibri"/>
                <w:b/>
                <w:bCs/>
                <w:color w:val="000000"/>
                <w:lang w:eastAsia="es-MX"/>
              </w:rPr>
            </w:pPr>
            <w:r w:rsidRPr="0087669F">
              <w:rPr>
                <w:rFonts w:eastAsia="Times New Roman" w:cs="Calibri"/>
                <w:b/>
                <w:bCs/>
                <w:color w:val="000000"/>
                <w:lang w:eastAsia="es-MX"/>
              </w:rPr>
              <w:t>DESCRIPCION DE LA CUENTA</w:t>
            </w:r>
          </w:p>
        </w:tc>
        <w:tc>
          <w:tcPr>
            <w:tcW w:w="1423" w:type="dxa"/>
            <w:tcBorders>
              <w:top w:val="single" w:sz="8" w:space="0" w:color="auto"/>
              <w:left w:val="nil"/>
              <w:bottom w:val="single" w:sz="8" w:space="0" w:color="auto"/>
              <w:right w:val="single" w:sz="8" w:space="0" w:color="auto"/>
            </w:tcBorders>
            <w:shd w:val="clear" w:color="000000" w:fill="BFBFBF"/>
            <w:noWrap/>
            <w:vAlign w:val="bottom"/>
            <w:hideMark/>
          </w:tcPr>
          <w:p w:rsidR="0087669F" w:rsidRPr="0087669F" w:rsidRDefault="0087669F" w:rsidP="0087669F">
            <w:pPr>
              <w:spacing w:after="0" w:line="240" w:lineRule="auto"/>
              <w:jc w:val="center"/>
              <w:rPr>
                <w:rFonts w:eastAsia="Times New Roman" w:cs="Calibri"/>
                <w:b/>
                <w:bCs/>
                <w:color w:val="000000"/>
                <w:lang w:eastAsia="es-MX"/>
              </w:rPr>
            </w:pPr>
            <w:r w:rsidRPr="0087669F">
              <w:rPr>
                <w:rFonts w:eastAsia="Times New Roman" w:cs="Calibri"/>
                <w:b/>
                <w:bCs/>
                <w:color w:val="000000"/>
                <w:lang w:eastAsia="es-MX"/>
              </w:rPr>
              <w:t>IMPORTE</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b/>
                <w:bCs/>
                <w:color w:val="000000"/>
                <w:lang w:eastAsia="es-MX"/>
              </w:rPr>
            </w:pPr>
            <w:r w:rsidRPr="0087669F">
              <w:rPr>
                <w:rFonts w:eastAsia="Times New Roman" w:cs="Calibri"/>
                <w:b/>
                <w:bCs/>
                <w:color w:val="000000"/>
                <w:lang w:eastAsia="es-MX"/>
              </w:rPr>
              <w:t xml:space="preserve"> INGRESOS PROPIOS </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b/>
                <w:bCs/>
                <w:color w:val="000000"/>
                <w:lang w:eastAsia="es-MX"/>
              </w:rPr>
            </w:pPr>
            <w:r w:rsidRPr="0087669F">
              <w:rPr>
                <w:rFonts w:eastAsia="Times New Roman" w:cs="Calibri"/>
                <w:b/>
                <w:bCs/>
                <w:color w:val="000000"/>
                <w:lang w:eastAsia="es-MX"/>
              </w:rPr>
              <w:t>100,556.01</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IMPUESTOS SOBRE EL PATRIMONIO</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23,728.85</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ACCESORIOS DE IMPUESTOS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252.02</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OTROS IMPUESTOS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64.50</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DERECHOS POR PRESTACIÓN DE SERVICIOS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16,420.00</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lastRenderedPageBreak/>
              <w:t>OTROS DERECHOS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1,372.53</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OTROS PRODUCTOS QUE GENERAN INGRESOS CORRIENTES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58,237.87</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OTROS APROVECHAMIENTOS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480.24</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b/>
                <w:bCs/>
                <w:color w:val="000000"/>
                <w:lang w:eastAsia="es-MX"/>
              </w:rPr>
            </w:pPr>
            <w:r w:rsidRPr="0087669F">
              <w:rPr>
                <w:rFonts w:eastAsia="Times New Roman" w:cs="Calibri"/>
                <w:b/>
                <w:bCs/>
                <w:color w:val="000000"/>
                <w:lang w:eastAsia="es-MX"/>
              </w:rPr>
              <w:t xml:space="preserve"> INGRESOS FEDERALES </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b/>
                <w:bCs/>
                <w:color w:val="000000"/>
                <w:lang w:eastAsia="es-MX"/>
              </w:rPr>
            </w:pPr>
            <w:r w:rsidRPr="0087669F">
              <w:rPr>
                <w:rFonts w:eastAsia="Times New Roman" w:cs="Calibri"/>
                <w:b/>
                <w:bCs/>
                <w:color w:val="000000"/>
                <w:lang w:eastAsia="es-MX"/>
              </w:rPr>
              <w:t>9,584,590.83</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PARTICIPACIONES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4,594,301.00</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APORTACIONES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1,069,056.83</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auto" w:fill="auto"/>
            <w:vAlign w:val="bottom"/>
            <w:hideMark/>
          </w:tcPr>
          <w:p w:rsidR="0087669F" w:rsidRPr="0087669F" w:rsidRDefault="0087669F" w:rsidP="0087669F">
            <w:pPr>
              <w:spacing w:after="0" w:line="240" w:lineRule="auto"/>
              <w:rPr>
                <w:rFonts w:eastAsia="Times New Roman" w:cs="Calibri"/>
                <w:color w:val="000000"/>
                <w:lang w:eastAsia="es-MX"/>
              </w:rPr>
            </w:pPr>
            <w:r w:rsidRPr="0087669F">
              <w:rPr>
                <w:rFonts w:eastAsia="Times New Roman" w:cs="Calibri"/>
                <w:color w:val="000000"/>
                <w:lang w:eastAsia="es-MX"/>
              </w:rPr>
              <w:t>CONVENIOS</w:t>
            </w:r>
          </w:p>
        </w:tc>
        <w:tc>
          <w:tcPr>
            <w:tcW w:w="1423" w:type="dxa"/>
            <w:tcBorders>
              <w:top w:val="nil"/>
              <w:left w:val="nil"/>
              <w:bottom w:val="single" w:sz="8" w:space="0" w:color="auto"/>
              <w:right w:val="single" w:sz="8" w:space="0" w:color="auto"/>
            </w:tcBorders>
            <w:shd w:val="clear" w:color="auto" w:fill="auto"/>
            <w:hideMark/>
          </w:tcPr>
          <w:p w:rsidR="0087669F" w:rsidRPr="0087669F" w:rsidRDefault="0087669F" w:rsidP="0087669F">
            <w:pPr>
              <w:spacing w:after="0" w:line="240" w:lineRule="auto"/>
              <w:jc w:val="right"/>
              <w:rPr>
                <w:rFonts w:eastAsia="Times New Roman" w:cs="Calibri"/>
                <w:color w:val="000000"/>
                <w:lang w:eastAsia="es-MX"/>
              </w:rPr>
            </w:pPr>
            <w:r w:rsidRPr="0087669F">
              <w:rPr>
                <w:rFonts w:eastAsia="Times New Roman" w:cs="Calibri"/>
                <w:color w:val="000000"/>
                <w:lang w:eastAsia="es-MX"/>
              </w:rPr>
              <w:t>3,921,233.00</w:t>
            </w:r>
          </w:p>
        </w:tc>
      </w:tr>
      <w:tr w:rsidR="0087669F" w:rsidRPr="0087669F" w:rsidTr="0087669F">
        <w:trPr>
          <w:trHeight w:val="153"/>
        </w:trPr>
        <w:tc>
          <w:tcPr>
            <w:tcW w:w="5959" w:type="dxa"/>
            <w:tcBorders>
              <w:top w:val="nil"/>
              <w:left w:val="single" w:sz="8" w:space="0" w:color="auto"/>
              <w:bottom w:val="single" w:sz="8" w:space="0" w:color="auto"/>
              <w:right w:val="single" w:sz="8" w:space="0" w:color="auto"/>
            </w:tcBorders>
            <w:shd w:val="clear" w:color="000000" w:fill="BFBFBF"/>
            <w:vAlign w:val="bottom"/>
            <w:hideMark/>
          </w:tcPr>
          <w:p w:rsidR="0087669F" w:rsidRPr="0087669F" w:rsidRDefault="0087669F" w:rsidP="0087669F">
            <w:pPr>
              <w:spacing w:after="0" w:line="240" w:lineRule="auto"/>
              <w:jc w:val="center"/>
              <w:rPr>
                <w:rFonts w:eastAsia="Times New Roman" w:cs="Calibri"/>
                <w:b/>
                <w:bCs/>
                <w:color w:val="000000"/>
                <w:lang w:eastAsia="es-MX"/>
              </w:rPr>
            </w:pPr>
            <w:r w:rsidRPr="0087669F">
              <w:rPr>
                <w:rFonts w:eastAsia="Times New Roman" w:cs="Calibri"/>
                <w:b/>
                <w:bCs/>
                <w:color w:val="000000"/>
                <w:lang w:eastAsia="es-MX"/>
              </w:rPr>
              <w:t xml:space="preserve"> TOTAL INGRESOS DE GESTION </w:t>
            </w:r>
          </w:p>
        </w:tc>
        <w:tc>
          <w:tcPr>
            <w:tcW w:w="1423" w:type="dxa"/>
            <w:tcBorders>
              <w:top w:val="nil"/>
              <w:left w:val="nil"/>
              <w:bottom w:val="single" w:sz="8" w:space="0" w:color="auto"/>
              <w:right w:val="single" w:sz="8" w:space="0" w:color="auto"/>
            </w:tcBorders>
            <w:shd w:val="clear" w:color="000000" w:fill="BFBFBF"/>
            <w:noWrap/>
            <w:vAlign w:val="bottom"/>
            <w:hideMark/>
          </w:tcPr>
          <w:p w:rsidR="0087669F" w:rsidRPr="0087669F" w:rsidRDefault="0087669F" w:rsidP="0087669F">
            <w:pPr>
              <w:spacing w:after="0" w:line="240" w:lineRule="auto"/>
              <w:jc w:val="right"/>
              <w:rPr>
                <w:rFonts w:eastAsia="Times New Roman" w:cs="Calibri"/>
                <w:b/>
                <w:bCs/>
                <w:color w:val="000000"/>
                <w:lang w:eastAsia="es-MX"/>
              </w:rPr>
            </w:pPr>
            <w:r w:rsidRPr="0087669F">
              <w:rPr>
                <w:rFonts w:eastAsia="Times New Roman" w:cs="Calibri"/>
                <w:b/>
                <w:bCs/>
                <w:color w:val="000000"/>
                <w:lang w:eastAsia="es-MX"/>
              </w:rPr>
              <w:t>9,685,146.84</w:t>
            </w:r>
          </w:p>
        </w:tc>
      </w:tr>
    </w:tbl>
    <w:p w:rsidR="00542A2E" w:rsidRDefault="00542A2E" w:rsidP="00DA3243">
      <w:pPr>
        <w:spacing w:after="0" w:line="240" w:lineRule="auto"/>
        <w:jc w:val="both"/>
        <w:rPr>
          <w:rFonts w:cs="Arial-BoldMT"/>
          <w:b/>
          <w:bCs/>
        </w:rPr>
      </w:pPr>
    </w:p>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233E0C" w:rsidRDefault="00A1376D" w:rsidP="00233E0C">
      <w:pPr>
        <w:spacing w:after="0" w:line="240" w:lineRule="auto"/>
        <w:jc w:val="both"/>
        <w:rPr>
          <w:rFonts w:cs="Arial-BoldMT"/>
          <w:b/>
          <w:bCs/>
        </w:rPr>
      </w:pPr>
      <w:r w:rsidRPr="00784A74">
        <w:rPr>
          <w:rFonts w:cs="Arial-BoldMT"/>
          <w:b/>
          <w:bCs/>
        </w:rPr>
        <w:t>GASTOS Y OTRAS PÉRDIDAS.</w:t>
      </w:r>
    </w:p>
    <w:p w:rsidR="00ED02A3" w:rsidRDefault="00C04D0E" w:rsidP="00233E0C">
      <w:pPr>
        <w:spacing w:after="0" w:line="240" w:lineRule="auto"/>
        <w:jc w:val="both"/>
        <w:rPr>
          <w:rFonts w:cs="Arial-BoldMT"/>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Se detalla aquellas cuentas de gastos de funcionamiento, transferencias, subsidios y otras ayudas, participaciones y aportaciones, así como de otros gastos efectuados durante el período comprendido del 01 de</w:t>
      </w:r>
      <w:r w:rsidR="000C60B1">
        <w:rPr>
          <w:rFonts w:cs="Arial-BoldMT"/>
          <w:bCs/>
        </w:rPr>
        <w:t xml:space="preserve"> </w:t>
      </w:r>
      <w:r w:rsidR="0087669F">
        <w:rPr>
          <w:rFonts w:cs="Arial-BoldMT"/>
          <w:bCs/>
        </w:rPr>
        <w:t>Abril</w:t>
      </w:r>
      <w:r w:rsidR="00FB4E35">
        <w:rPr>
          <w:rFonts w:cs="Arial-BoldMT"/>
          <w:bCs/>
        </w:rPr>
        <w:t xml:space="preserve"> </w:t>
      </w:r>
      <w:r w:rsidR="0087669F">
        <w:rPr>
          <w:rFonts w:cs="Arial-BoldMT"/>
          <w:bCs/>
        </w:rPr>
        <w:t xml:space="preserve"> al 30</w:t>
      </w:r>
      <w:r w:rsidR="0019518A">
        <w:rPr>
          <w:rFonts w:cs="Arial-BoldMT"/>
          <w:bCs/>
        </w:rPr>
        <w:t xml:space="preserve"> de </w:t>
      </w:r>
      <w:r w:rsidR="0087669F">
        <w:rPr>
          <w:rFonts w:cs="Arial-BoldMT"/>
          <w:bCs/>
        </w:rPr>
        <w:t>Junio</w:t>
      </w:r>
      <w:r w:rsidR="000C60B1">
        <w:rPr>
          <w:rFonts w:cs="Arial-BoldMT"/>
          <w:bCs/>
        </w:rPr>
        <w:t xml:space="preserve"> de 2017</w:t>
      </w:r>
      <w:r w:rsidR="00ED02A3" w:rsidRPr="00047A0D">
        <w:rPr>
          <w:rFonts w:cs="Arial-BoldMT"/>
          <w:bCs/>
        </w:rPr>
        <w:t>.</w:t>
      </w:r>
    </w:p>
    <w:p w:rsidR="000C60B1" w:rsidRPr="00233E0C" w:rsidRDefault="000C60B1" w:rsidP="00233E0C">
      <w:pPr>
        <w:spacing w:after="0" w:line="240" w:lineRule="auto"/>
        <w:jc w:val="both"/>
        <w:rPr>
          <w:rFonts w:cs="Arial-BoldMT"/>
          <w:b/>
          <w:bCs/>
        </w:rPr>
      </w:pPr>
    </w:p>
    <w:tbl>
      <w:tblPr>
        <w:tblW w:w="7975" w:type="dxa"/>
        <w:tblInd w:w="51" w:type="dxa"/>
        <w:tblCellMar>
          <w:left w:w="70" w:type="dxa"/>
          <w:right w:w="70" w:type="dxa"/>
        </w:tblCellMar>
        <w:tblLook w:val="04A0"/>
      </w:tblPr>
      <w:tblGrid>
        <w:gridCol w:w="6537"/>
        <w:gridCol w:w="1438"/>
      </w:tblGrid>
      <w:tr w:rsidR="00E41C4D" w:rsidRPr="00E41C4D" w:rsidTr="00E41C4D">
        <w:trPr>
          <w:trHeight w:val="193"/>
        </w:trPr>
        <w:tc>
          <w:tcPr>
            <w:tcW w:w="6537" w:type="dxa"/>
            <w:tcBorders>
              <w:top w:val="single" w:sz="8" w:space="0" w:color="auto"/>
              <w:left w:val="single" w:sz="8" w:space="0" w:color="auto"/>
              <w:bottom w:val="single" w:sz="8" w:space="0" w:color="auto"/>
              <w:right w:val="nil"/>
            </w:tcBorders>
            <w:shd w:val="clear" w:color="000000" w:fill="BFBFBF"/>
            <w:noWrap/>
            <w:hideMark/>
          </w:tcPr>
          <w:p w:rsidR="00E41C4D" w:rsidRPr="00E41C4D" w:rsidRDefault="00E41C4D" w:rsidP="00E41C4D">
            <w:pPr>
              <w:spacing w:after="0" w:line="240" w:lineRule="auto"/>
              <w:rPr>
                <w:rFonts w:eastAsia="Times New Roman" w:cs="Calibri"/>
                <w:b/>
                <w:bCs/>
                <w:color w:val="000000"/>
                <w:lang w:eastAsia="es-MX"/>
              </w:rPr>
            </w:pPr>
            <w:bookmarkStart w:id="0" w:name="OLE_LINK10"/>
            <w:bookmarkStart w:id="1" w:name="OLE_LINK11"/>
            <w:bookmarkStart w:id="2" w:name="OLE_LINK12"/>
            <w:r w:rsidRPr="00E41C4D">
              <w:rPr>
                <w:rFonts w:eastAsia="Times New Roman" w:cs="Calibri"/>
                <w:b/>
                <w:bCs/>
                <w:color w:val="000000"/>
                <w:lang w:eastAsia="es-MX"/>
              </w:rPr>
              <w:t xml:space="preserve">DESCRIPCION DE LA CUENTA </w:t>
            </w:r>
          </w:p>
        </w:tc>
        <w:tc>
          <w:tcPr>
            <w:tcW w:w="1438" w:type="dxa"/>
            <w:tcBorders>
              <w:top w:val="single" w:sz="8" w:space="0" w:color="auto"/>
              <w:left w:val="single" w:sz="8" w:space="0" w:color="auto"/>
              <w:bottom w:val="single" w:sz="8" w:space="0" w:color="auto"/>
              <w:right w:val="single" w:sz="8" w:space="0" w:color="auto"/>
            </w:tcBorders>
            <w:shd w:val="clear" w:color="000000" w:fill="BFBFBF"/>
            <w:noWrap/>
            <w:hideMark/>
          </w:tcPr>
          <w:p w:rsidR="00E41C4D" w:rsidRPr="00E41C4D" w:rsidRDefault="00E41C4D" w:rsidP="00E41C4D">
            <w:pPr>
              <w:spacing w:after="0" w:line="240" w:lineRule="auto"/>
              <w:rPr>
                <w:rFonts w:eastAsia="Times New Roman" w:cs="Calibri"/>
                <w:b/>
                <w:bCs/>
                <w:color w:val="000000"/>
                <w:lang w:eastAsia="es-MX"/>
              </w:rPr>
            </w:pPr>
            <w:r w:rsidRPr="00E41C4D">
              <w:rPr>
                <w:rFonts w:eastAsia="Times New Roman" w:cs="Calibri"/>
                <w:b/>
                <w:bCs/>
                <w:color w:val="000000"/>
                <w:lang w:eastAsia="es-MX"/>
              </w:rPr>
              <w:t xml:space="preserve">  IMPORTE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REMUNERACIONES AL PERSONAL DE CARÁCTER PERMANENTE</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2,191,649.00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OTRAS PRESTACIONES SOCIALES Y ECONÓMICAS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39,500.00 </w:t>
            </w:r>
          </w:p>
        </w:tc>
      </w:tr>
      <w:tr w:rsidR="00E41C4D" w:rsidRPr="00E41C4D" w:rsidTr="00E41C4D">
        <w:trPr>
          <w:trHeight w:val="376"/>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MATERIALES DE ADMINISTRACIÓN, EMISIÓN DE DOCUMENTOS Y ARTÍCULOS OFICIALES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30,211.82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ALIMENTOS Y UTENSILIOS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12,805.24 </w:t>
            </w:r>
          </w:p>
        </w:tc>
      </w:tr>
      <w:tr w:rsidR="00E41C4D" w:rsidRPr="00E41C4D" w:rsidTr="00E41C4D">
        <w:trPr>
          <w:trHeight w:val="376"/>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MATERIALES Y ARTÍCULOS DE CONSTRUCCIÓN Y DE REPARACIÓN</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6,243.50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PRODUCTOS QUÍMICOS, FARMACÉUTICOS Y DE LABORATORIO</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48,111.02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COMBUSTIBLES, LUBRICANTES Y ADITIVOS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751,674.35 </w:t>
            </w:r>
          </w:p>
        </w:tc>
      </w:tr>
      <w:tr w:rsidR="00E41C4D" w:rsidRPr="00E41C4D" w:rsidTr="00E41C4D">
        <w:trPr>
          <w:trHeight w:val="376"/>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VESTUARIO, BLANCOS, PRENDAS DE PROTECCIÓN Y ARTÍCULOS DEPORTIVOS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45,606.40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MATERIALES Y SUMINISTROS PARA SEGURIDAD</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4,512.40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BÁSICOS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592,726.98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DE ARRENDAMIENTO</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11,020.00 </w:t>
            </w:r>
          </w:p>
        </w:tc>
      </w:tr>
      <w:tr w:rsidR="00E41C4D" w:rsidRPr="00E41C4D" w:rsidTr="00E41C4D">
        <w:trPr>
          <w:trHeight w:val="376"/>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PROFESIONALES, CIENTÍFICOS Y TÉCNICOS Y OTROS SERVICIOS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89,988.00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FINANCIEROS, BANCARIOS Y COMERCIALES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13,066.92 </w:t>
            </w:r>
          </w:p>
        </w:tc>
      </w:tr>
      <w:tr w:rsidR="00E41C4D" w:rsidRPr="00E41C4D" w:rsidTr="00E41C4D">
        <w:trPr>
          <w:trHeight w:val="376"/>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DE INSTALACIÓN, REPARACIÓN, MANTENIMIENTO Y CONSERVACIÓN</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257,378.01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DE COMUNICACIÓN SOCIAL Y PUBLICIDAD</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3,480.00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DE TRASLADO Y VIÁTICOS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21,973.51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SERVICIOS OFICIALES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175,937.87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OTROS SERVICIOS GENERALES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34,225.00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SUBSIDIOS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5.88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AYUDAS SOCIALES A PERSONAS</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484,368.99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DEPRECIACIÓN DE MOBILIARIO Y EQUIPO DE ADMINISTRACIÓN</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13,451.11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DEPRECIACIÓN DE EQUIPO DE TRANSPORTE</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36,908.68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DEPRECIACIÓN DE EQUIPO DE DEFENSA Y DE SEGURIDAD</w:t>
            </w:r>
          </w:p>
        </w:tc>
        <w:tc>
          <w:tcPr>
            <w:tcW w:w="1438" w:type="dxa"/>
            <w:tcBorders>
              <w:top w:val="nil"/>
              <w:left w:val="single" w:sz="8" w:space="0" w:color="auto"/>
              <w:bottom w:val="single" w:sz="8" w:space="0" w:color="auto"/>
              <w:right w:val="single" w:sz="8" w:space="0" w:color="auto"/>
            </w:tcBorders>
            <w:shd w:val="clear" w:color="auto" w:fill="auto"/>
            <w:hideMark/>
          </w:tcPr>
          <w:p w:rsidR="00E41C4D" w:rsidRPr="00E41C4D" w:rsidRDefault="00E41C4D" w:rsidP="00E41C4D">
            <w:pPr>
              <w:spacing w:after="0" w:line="240" w:lineRule="auto"/>
              <w:rPr>
                <w:rFonts w:eastAsia="Times New Roman" w:cs="Calibri"/>
                <w:color w:val="000000"/>
                <w:lang w:eastAsia="es-MX"/>
              </w:rPr>
            </w:pPr>
            <w:r w:rsidRPr="00E41C4D">
              <w:rPr>
                <w:rFonts w:eastAsia="Times New Roman" w:cs="Calibri"/>
                <w:color w:val="000000"/>
                <w:lang w:eastAsia="es-MX"/>
              </w:rPr>
              <w:t xml:space="preserve">             407.96 </w:t>
            </w:r>
          </w:p>
        </w:tc>
      </w:tr>
      <w:tr w:rsidR="00E41C4D" w:rsidRPr="00E41C4D" w:rsidTr="00E41C4D">
        <w:trPr>
          <w:trHeight w:val="193"/>
        </w:trPr>
        <w:tc>
          <w:tcPr>
            <w:tcW w:w="6537" w:type="dxa"/>
            <w:tcBorders>
              <w:top w:val="nil"/>
              <w:left w:val="single" w:sz="8" w:space="0" w:color="auto"/>
              <w:bottom w:val="single" w:sz="8" w:space="0" w:color="auto"/>
              <w:right w:val="nil"/>
            </w:tcBorders>
            <w:shd w:val="clear" w:color="000000" w:fill="BFBFBF"/>
            <w:hideMark/>
          </w:tcPr>
          <w:p w:rsidR="00E41C4D" w:rsidRPr="00E41C4D" w:rsidRDefault="00E41C4D" w:rsidP="00E41C4D">
            <w:pPr>
              <w:spacing w:after="0" w:line="240" w:lineRule="auto"/>
              <w:rPr>
                <w:rFonts w:eastAsia="Times New Roman" w:cs="Calibri"/>
                <w:b/>
                <w:bCs/>
                <w:color w:val="000000"/>
                <w:lang w:eastAsia="es-MX"/>
              </w:rPr>
            </w:pPr>
            <w:r w:rsidRPr="00E41C4D">
              <w:rPr>
                <w:rFonts w:eastAsia="Times New Roman" w:cs="Calibri"/>
                <w:b/>
                <w:bCs/>
                <w:color w:val="000000"/>
                <w:lang w:eastAsia="es-MX"/>
              </w:rPr>
              <w:lastRenderedPageBreak/>
              <w:t xml:space="preserve"> TOTAL GASTOS Y OTRAS PÉRDIDAS </w:t>
            </w:r>
          </w:p>
        </w:tc>
        <w:tc>
          <w:tcPr>
            <w:tcW w:w="1438" w:type="dxa"/>
            <w:tcBorders>
              <w:top w:val="nil"/>
              <w:left w:val="single" w:sz="8" w:space="0" w:color="auto"/>
              <w:bottom w:val="single" w:sz="8" w:space="0" w:color="auto"/>
              <w:right w:val="single" w:sz="8" w:space="0" w:color="auto"/>
            </w:tcBorders>
            <w:shd w:val="clear" w:color="000000" w:fill="BFBFBF"/>
            <w:hideMark/>
          </w:tcPr>
          <w:p w:rsidR="00E41C4D" w:rsidRPr="00E41C4D" w:rsidRDefault="00E41C4D" w:rsidP="00E41C4D">
            <w:pPr>
              <w:spacing w:after="0" w:line="240" w:lineRule="auto"/>
              <w:rPr>
                <w:rFonts w:eastAsia="Times New Roman" w:cs="Calibri"/>
                <w:b/>
                <w:bCs/>
                <w:color w:val="000000"/>
                <w:lang w:eastAsia="es-MX"/>
              </w:rPr>
            </w:pPr>
            <w:r w:rsidRPr="00E41C4D">
              <w:rPr>
                <w:rFonts w:eastAsia="Times New Roman" w:cs="Calibri"/>
                <w:b/>
                <w:bCs/>
                <w:color w:val="000000"/>
                <w:lang w:eastAsia="es-MX"/>
              </w:rPr>
              <w:t xml:space="preserve"> 4,865,252.64 </w:t>
            </w:r>
          </w:p>
        </w:tc>
      </w:tr>
    </w:tbl>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6D2C56" w:rsidTr="00414099">
        <w:trPr>
          <w:jc w:val="center"/>
        </w:trPr>
        <w:tc>
          <w:tcPr>
            <w:tcW w:w="3529" w:type="dxa"/>
            <w:shd w:val="clear" w:color="auto" w:fill="BFBFBF"/>
          </w:tcPr>
          <w:p w:rsidR="00013225" w:rsidRPr="007F6795" w:rsidRDefault="00013225" w:rsidP="00414099">
            <w:pPr>
              <w:spacing w:after="0" w:line="240" w:lineRule="auto"/>
              <w:jc w:val="center"/>
              <w:rPr>
                <w:rFonts w:cs="Arial"/>
                <w:b/>
              </w:rPr>
            </w:pPr>
            <w:r w:rsidRPr="007F6795">
              <w:rPr>
                <w:rFonts w:cs="Arial"/>
                <w:b/>
              </w:rPr>
              <w:t>Denominación</w:t>
            </w:r>
          </w:p>
        </w:tc>
        <w:tc>
          <w:tcPr>
            <w:tcW w:w="1525" w:type="dxa"/>
            <w:shd w:val="clear" w:color="auto" w:fill="BFBFBF"/>
          </w:tcPr>
          <w:p w:rsidR="00013225" w:rsidRPr="007F6795" w:rsidRDefault="00013225" w:rsidP="00414099">
            <w:pPr>
              <w:spacing w:after="0" w:line="240" w:lineRule="auto"/>
              <w:jc w:val="center"/>
              <w:rPr>
                <w:rFonts w:cs="Arial"/>
                <w:b/>
              </w:rPr>
            </w:pPr>
            <w:r w:rsidRPr="007F6795">
              <w:rPr>
                <w:rFonts w:cs="Arial"/>
                <w:b/>
              </w:rPr>
              <w:t>Importe</w:t>
            </w:r>
          </w:p>
        </w:tc>
      </w:tr>
      <w:tr w:rsidR="00013225" w:rsidRPr="006D2C56" w:rsidTr="00414099">
        <w:trPr>
          <w:jc w:val="center"/>
        </w:trPr>
        <w:tc>
          <w:tcPr>
            <w:tcW w:w="3529" w:type="dxa"/>
          </w:tcPr>
          <w:p w:rsidR="00013225" w:rsidRPr="00970771" w:rsidRDefault="00B00B15" w:rsidP="00414099">
            <w:pPr>
              <w:spacing w:after="0" w:line="240" w:lineRule="auto"/>
              <w:rPr>
                <w:rFonts w:cs="Arial"/>
              </w:rPr>
            </w:pPr>
            <w:r w:rsidRPr="00970771">
              <w:rPr>
                <w:rFonts w:cs="Arial"/>
              </w:rPr>
              <w:t>Patrimonio Anterior 201</w:t>
            </w:r>
            <w:r w:rsidR="000C60B1">
              <w:rPr>
                <w:rFonts w:cs="Arial"/>
              </w:rPr>
              <w:t>6</w:t>
            </w:r>
          </w:p>
        </w:tc>
        <w:tc>
          <w:tcPr>
            <w:tcW w:w="1525" w:type="dxa"/>
          </w:tcPr>
          <w:p w:rsidR="00013225" w:rsidRPr="007F6795" w:rsidRDefault="00514B14" w:rsidP="000C60B1">
            <w:pPr>
              <w:spacing w:after="0" w:line="240" w:lineRule="auto"/>
              <w:jc w:val="right"/>
              <w:rPr>
                <w:color w:val="000000"/>
                <w:lang w:val="es-ES"/>
              </w:rPr>
            </w:pPr>
            <w:r>
              <w:rPr>
                <w:color w:val="000000"/>
                <w:lang w:val="es-ES"/>
              </w:rPr>
              <w:t>$</w:t>
            </w:r>
            <w:r w:rsidR="000C60B1" w:rsidRPr="000C60B1">
              <w:rPr>
                <w:color w:val="000000"/>
                <w:lang w:val="es-ES"/>
              </w:rPr>
              <w:t>1</w:t>
            </w:r>
            <w:r w:rsidR="000C60B1">
              <w:rPr>
                <w:color w:val="000000"/>
                <w:lang w:val="es-ES"/>
              </w:rPr>
              <w:t>,</w:t>
            </w:r>
            <w:r w:rsidR="000C60B1" w:rsidRPr="000C60B1">
              <w:rPr>
                <w:color w:val="000000"/>
                <w:lang w:val="es-ES"/>
              </w:rPr>
              <w:t>613</w:t>
            </w:r>
            <w:r w:rsidR="000C60B1">
              <w:rPr>
                <w:color w:val="000000"/>
                <w:lang w:val="es-ES"/>
              </w:rPr>
              <w:t>,</w:t>
            </w:r>
            <w:r w:rsidR="000C60B1" w:rsidRPr="000C60B1">
              <w:rPr>
                <w:color w:val="000000"/>
                <w:lang w:val="es-ES"/>
              </w:rPr>
              <w:t>586.77</w:t>
            </w:r>
          </w:p>
        </w:tc>
      </w:tr>
      <w:tr w:rsidR="00013225" w:rsidRPr="006D2C56" w:rsidTr="00414099">
        <w:trPr>
          <w:jc w:val="center"/>
        </w:trPr>
        <w:tc>
          <w:tcPr>
            <w:tcW w:w="3529" w:type="dxa"/>
          </w:tcPr>
          <w:p w:rsidR="00013225" w:rsidRPr="00970771" w:rsidRDefault="00CF0B3D" w:rsidP="00414099">
            <w:pPr>
              <w:spacing w:after="0" w:line="240" w:lineRule="auto"/>
              <w:rPr>
                <w:rFonts w:cs="Arial"/>
              </w:rPr>
            </w:pPr>
            <w:r w:rsidRPr="00970771">
              <w:rPr>
                <w:rFonts w:cs="Arial"/>
              </w:rPr>
              <w:t>Aportaciones 201</w:t>
            </w:r>
            <w:r w:rsidR="000C60B1">
              <w:rPr>
                <w:rFonts w:cs="Arial"/>
              </w:rPr>
              <w:t>7</w:t>
            </w:r>
          </w:p>
        </w:tc>
        <w:tc>
          <w:tcPr>
            <w:tcW w:w="1525" w:type="dxa"/>
          </w:tcPr>
          <w:p w:rsidR="00013225" w:rsidRPr="007F6795" w:rsidRDefault="00514B14" w:rsidP="00B00B15">
            <w:pPr>
              <w:spacing w:after="0" w:line="240" w:lineRule="auto"/>
              <w:jc w:val="right"/>
              <w:rPr>
                <w:rFonts w:cs="Arial"/>
              </w:rPr>
            </w:pPr>
            <w:r>
              <w:rPr>
                <w:rFonts w:cs="Arial"/>
              </w:rPr>
              <w:t>$</w:t>
            </w:r>
            <w:r w:rsidR="00013225" w:rsidRPr="007F6795">
              <w:rPr>
                <w:rFonts w:cs="Arial"/>
              </w:rPr>
              <w:t xml:space="preserve">        </w:t>
            </w:r>
            <w:r w:rsidR="000C60B1">
              <w:rPr>
                <w:rFonts w:cs="Arial"/>
              </w:rPr>
              <w:t xml:space="preserve">    </w:t>
            </w:r>
            <w:r w:rsidR="00013225" w:rsidRPr="007F6795">
              <w:rPr>
                <w:rFonts w:cs="Arial"/>
              </w:rPr>
              <w:t xml:space="preserve">    0</w:t>
            </w:r>
            <w:r w:rsidR="00B00B15" w:rsidRPr="007F6795">
              <w:rPr>
                <w:rFonts w:cs="Arial"/>
              </w:rPr>
              <w:t>.00</w:t>
            </w:r>
          </w:p>
        </w:tc>
      </w:tr>
      <w:tr w:rsidR="00013225" w:rsidRPr="00414099" w:rsidTr="00E309E9">
        <w:trPr>
          <w:jc w:val="center"/>
        </w:trPr>
        <w:tc>
          <w:tcPr>
            <w:tcW w:w="3529" w:type="dxa"/>
            <w:shd w:val="clear" w:color="auto" w:fill="BFBFBF" w:themeFill="background1" w:themeFillShade="BF"/>
          </w:tcPr>
          <w:p w:rsidR="00013225" w:rsidRPr="000C60B1" w:rsidRDefault="00013225" w:rsidP="00414099">
            <w:pPr>
              <w:spacing w:after="0" w:line="240" w:lineRule="auto"/>
              <w:rPr>
                <w:rFonts w:eastAsia="Times New Roman" w:cs="Arial"/>
                <w:b/>
                <w:bCs/>
                <w:color w:val="000000"/>
                <w:lang w:eastAsia="es-MX"/>
              </w:rPr>
            </w:pPr>
            <w:r w:rsidRPr="000C60B1">
              <w:rPr>
                <w:rFonts w:eastAsia="Times New Roman" w:cs="Arial"/>
                <w:b/>
                <w:bCs/>
                <w:color w:val="000000"/>
                <w:lang w:eastAsia="es-MX"/>
              </w:rPr>
              <w:t>Patrimonio Contribuido Actual</w:t>
            </w:r>
          </w:p>
        </w:tc>
        <w:tc>
          <w:tcPr>
            <w:tcW w:w="1525" w:type="dxa"/>
            <w:shd w:val="clear" w:color="auto" w:fill="BFBFBF" w:themeFill="background1" w:themeFillShade="BF"/>
          </w:tcPr>
          <w:p w:rsidR="00013225" w:rsidRPr="000C60B1" w:rsidRDefault="00514B14" w:rsidP="00B00B15">
            <w:pPr>
              <w:spacing w:after="0" w:line="240" w:lineRule="auto"/>
              <w:jc w:val="right"/>
              <w:rPr>
                <w:rFonts w:eastAsia="Times New Roman" w:cs="Arial"/>
                <w:b/>
                <w:bCs/>
                <w:color w:val="000000"/>
                <w:lang w:eastAsia="es-MX"/>
              </w:rPr>
            </w:pPr>
            <w:r w:rsidRPr="000C60B1">
              <w:rPr>
                <w:rFonts w:eastAsia="Times New Roman" w:cs="Arial"/>
                <w:b/>
                <w:bCs/>
                <w:color w:val="000000"/>
                <w:lang w:eastAsia="es-MX"/>
              </w:rPr>
              <w:t>$1,613,586.77</w:t>
            </w:r>
          </w:p>
        </w:tc>
      </w:tr>
    </w:tbl>
    <w:p w:rsidR="00013225" w:rsidRPr="00784A74" w:rsidRDefault="00013225" w:rsidP="00013225">
      <w:pPr>
        <w:spacing w:after="0" w:line="240" w:lineRule="auto"/>
        <w:jc w:val="center"/>
        <w:rPr>
          <w:b/>
          <w:u w:val="single"/>
        </w:rPr>
      </w:pPr>
    </w:p>
    <w:p w:rsidR="00013225" w:rsidRDefault="00013225" w:rsidP="00013225">
      <w:pPr>
        <w:spacing w:after="0" w:line="240" w:lineRule="auto"/>
      </w:pPr>
      <w:r w:rsidRPr="000E2539">
        <w:rPr>
          <w:b/>
        </w:rPr>
        <w:t>EVHO-02</w:t>
      </w:r>
      <w:r w:rsidR="000E2539">
        <w:rPr>
          <w:b/>
        </w:rPr>
        <w:t>.-</w:t>
      </w:r>
      <w:r>
        <w:t xml:space="preserve"> </w:t>
      </w:r>
      <w:r w:rsidRPr="00784A74">
        <w:t>Patrimonio Generado</w:t>
      </w:r>
    </w:p>
    <w:p w:rsidR="00013225" w:rsidRPr="00784A74" w:rsidRDefault="00013225" w:rsidP="00013225">
      <w:pPr>
        <w:spacing w:after="0" w:line="240" w:lineRule="auto"/>
      </w:pPr>
    </w:p>
    <w:tbl>
      <w:tblPr>
        <w:tblW w:w="5828" w:type="dxa"/>
        <w:jc w:val="center"/>
        <w:tblInd w:w="51" w:type="dxa"/>
        <w:tblCellMar>
          <w:left w:w="70" w:type="dxa"/>
          <w:right w:w="70" w:type="dxa"/>
        </w:tblCellMar>
        <w:tblLook w:val="04A0"/>
      </w:tblPr>
      <w:tblGrid>
        <w:gridCol w:w="4219"/>
        <w:gridCol w:w="1609"/>
      </w:tblGrid>
      <w:tr w:rsidR="000C60B1" w:rsidRPr="000C60B1" w:rsidTr="000C60B1">
        <w:trPr>
          <w:trHeight w:val="123"/>
          <w:jc w:val="center"/>
        </w:trPr>
        <w:tc>
          <w:tcPr>
            <w:tcW w:w="421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bookmarkEnd w:id="0"/>
          <w:bookmarkEnd w:id="1"/>
          <w:bookmarkEnd w:id="2"/>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Denominación</w:t>
            </w:r>
          </w:p>
        </w:tc>
        <w:tc>
          <w:tcPr>
            <w:tcW w:w="1609" w:type="dxa"/>
            <w:tcBorders>
              <w:top w:val="single" w:sz="8" w:space="0" w:color="auto"/>
              <w:left w:val="nil"/>
              <w:bottom w:val="single" w:sz="8" w:space="0" w:color="auto"/>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Importe</w:t>
            </w:r>
          </w:p>
        </w:tc>
      </w:tr>
      <w:tr w:rsidR="000C60B1" w:rsidRPr="000C60B1" w:rsidTr="000C60B1">
        <w:trPr>
          <w:trHeight w:val="240"/>
          <w:jc w:val="center"/>
        </w:trPr>
        <w:tc>
          <w:tcPr>
            <w:tcW w:w="4219"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Resultado del Ejercicio (Ahorro/ Desahorro)</w:t>
            </w:r>
          </w:p>
        </w:tc>
        <w:tc>
          <w:tcPr>
            <w:tcW w:w="1609" w:type="dxa"/>
            <w:tcBorders>
              <w:top w:val="nil"/>
              <w:left w:val="nil"/>
              <w:bottom w:val="single" w:sz="8" w:space="0" w:color="auto"/>
              <w:right w:val="single" w:sz="8" w:space="0" w:color="auto"/>
            </w:tcBorders>
            <w:shd w:val="clear" w:color="auto" w:fill="auto"/>
            <w:noWrap/>
            <w:vAlign w:val="center"/>
            <w:hideMark/>
          </w:tcPr>
          <w:p w:rsidR="000C60B1" w:rsidRPr="000C60B1" w:rsidRDefault="00E41C4D" w:rsidP="00E41C4D">
            <w:pPr>
              <w:spacing w:after="0" w:line="240" w:lineRule="auto"/>
              <w:jc w:val="right"/>
              <w:rPr>
                <w:rFonts w:eastAsia="Times New Roman" w:cs="Calibri"/>
                <w:color w:val="000000"/>
                <w:lang w:eastAsia="es-MX"/>
              </w:rPr>
            </w:pPr>
            <w:r w:rsidRPr="00E41C4D">
              <w:rPr>
                <w:rFonts w:eastAsia="Times New Roman" w:cs="Calibri"/>
                <w:color w:val="000000"/>
                <w:lang w:eastAsia="es-MX"/>
              </w:rPr>
              <w:t>10</w:t>
            </w:r>
            <w:r>
              <w:rPr>
                <w:rFonts w:eastAsia="Times New Roman" w:cs="Calibri"/>
                <w:color w:val="000000"/>
                <w:lang w:eastAsia="es-MX"/>
              </w:rPr>
              <w:t>,</w:t>
            </w:r>
            <w:r w:rsidRPr="00E41C4D">
              <w:rPr>
                <w:rFonts w:eastAsia="Times New Roman" w:cs="Calibri"/>
                <w:color w:val="000000"/>
                <w:lang w:eastAsia="es-MX"/>
              </w:rPr>
              <w:t>709</w:t>
            </w:r>
            <w:r>
              <w:rPr>
                <w:rFonts w:eastAsia="Times New Roman" w:cs="Calibri"/>
                <w:color w:val="000000"/>
                <w:lang w:eastAsia="es-MX"/>
              </w:rPr>
              <w:t>,</w:t>
            </w:r>
            <w:r w:rsidRPr="00E41C4D">
              <w:rPr>
                <w:rFonts w:eastAsia="Times New Roman" w:cs="Calibri"/>
                <w:color w:val="000000"/>
                <w:lang w:eastAsia="es-MX"/>
              </w:rPr>
              <w:t>120.12</w:t>
            </w:r>
          </w:p>
        </w:tc>
      </w:tr>
      <w:tr w:rsidR="000C60B1" w:rsidRPr="000C60B1" w:rsidTr="000C60B1">
        <w:trPr>
          <w:trHeight w:val="123"/>
          <w:jc w:val="center"/>
        </w:trPr>
        <w:tc>
          <w:tcPr>
            <w:tcW w:w="4219" w:type="dxa"/>
            <w:tcBorders>
              <w:top w:val="nil"/>
              <w:left w:val="single" w:sz="8" w:space="0" w:color="auto"/>
              <w:bottom w:val="single" w:sz="8" w:space="0" w:color="auto"/>
              <w:right w:val="single" w:sz="8" w:space="0" w:color="auto"/>
            </w:tcBorders>
            <w:shd w:val="clear" w:color="auto" w:fill="auto"/>
            <w:noWrap/>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RESULTADOS DE EJERCICIOS ANTERIORES</w:t>
            </w:r>
          </w:p>
        </w:tc>
        <w:tc>
          <w:tcPr>
            <w:tcW w:w="1609" w:type="dxa"/>
            <w:tcBorders>
              <w:top w:val="nil"/>
              <w:left w:val="nil"/>
              <w:bottom w:val="single" w:sz="8" w:space="0" w:color="auto"/>
              <w:right w:val="single" w:sz="8" w:space="0" w:color="auto"/>
            </w:tcBorders>
            <w:shd w:val="clear" w:color="auto" w:fill="auto"/>
            <w:noWrap/>
            <w:vAlign w:val="center"/>
            <w:hideMark/>
          </w:tcPr>
          <w:p w:rsidR="000C60B1" w:rsidRPr="000C60B1" w:rsidRDefault="000C60B1" w:rsidP="00E41C4D">
            <w:pPr>
              <w:spacing w:after="0" w:line="240" w:lineRule="auto"/>
              <w:jc w:val="right"/>
              <w:rPr>
                <w:rFonts w:eastAsia="Times New Roman" w:cs="Calibri"/>
                <w:color w:val="000000"/>
                <w:lang w:eastAsia="es-MX"/>
              </w:rPr>
            </w:pPr>
            <w:r w:rsidRPr="000C60B1">
              <w:rPr>
                <w:rFonts w:eastAsia="Times New Roman" w:cs="Calibri"/>
                <w:color w:val="000000"/>
                <w:lang w:eastAsia="es-MX"/>
              </w:rPr>
              <w:t xml:space="preserve">   </w:t>
            </w:r>
            <w:r w:rsidR="00E41C4D" w:rsidRPr="00E41C4D">
              <w:rPr>
                <w:rFonts w:eastAsia="Times New Roman" w:cs="Calibri"/>
                <w:color w:val="000000"/>
                <w:lang w:eastAsia="es-MX"/>
              </w:rPr>
              <w:t>34</w:t>
            </w:r>
            <w:r w:rsidR="00E41C4D">
              <w:rPr>
                <w:rFonts w:eastAsia="Times New Roman" w:cs="Calibri"/>
                <w:color w:val="000000"/>
                <w:lang w:eastAsia="es-MX"/>
              </w:rPr>
              <w:t>,</w:t>
            </w:r>
            <w:r w:rsidR="00E41C4D" w:rsidRPr="00E41C4D">
              <w:rPr>
                <w:rFonts w:eastAsia="Times New Roman" w:cs="Calibri"/>
                <w:color w:val="000000"/>
                <w:lang w:eastAsia="es-MX"/>
              </w:rPr>
              <w:t>281</w:t>
            </w:r>
            <w:r w:rsidR="00E41C4D">
              <w:rPr>
                <w:rFonts w:eastAsia="Times New Roman" w:cs="Calibri"/>
                <w:color w:val="000000"/>
                <w:lang w:eastAsia="es-MX"/>
              </w:rPr>
              <w:t>,</w:t>
            </w:r>
            <w:r w:rsidR="00E41C4D" w:rsidRPr="00E41C4D">
              <w:rPr>
                <w:rFonts w:eastAsia="Times New Roman" w:cs="Calibri"/>
                <w:color w:val="000000"/>
                <w:lang w:eastAsia="es-MX"/>
              </w:rPr>
              <w:t>786.04</w:t>
            </w:r>
          </w:p>
        </w:tc>
      </w:tr>
      <w:tr w:rsidR="000C60B1" w:rsidRPr="000C60B1" w:rsidTr="000C60B1">
        <w:trPr>
          <w:trHeight w:val="123"/>
          <w:jc w:val="center"/>
        </w:trPr>
        <w:tc>
          <w:tcPr>
            <w:tcW w:w="4219" w:type="dxa"/>
            <w:tcBorders>
              <w:top w:val="nil"/>
              <w:left w:val="single" w:sz="8" w:space="0" w:color="auto"/>
              <w:bottom w:val="single" w:sz="8" w:space="0" w:color="auto"/>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Patrimonio Generado Actual</w:t>
            </w:r>
          </w:p>
        </w:tc>
        <w:tc>
          <w:tcPr>
            <w:tcW w:w="1609" w:type="dxa"/>
            <w:tcBorders>
              <w:top w:val="nil"/>
              <w:left w:val="nil"/>
              <w:bottom w:val="single" w:sz="8" w:space="0" w:color="auto"/>
              <w:right w:val="single" w:sz="8" w:space="0" w:color="auto"/>
            </w:tcBorders>
            <w:shd w:val="clear" w:color="000000" w:fill="BFBFBF"/>
            <w:noWrap/>
            <w:vAlign w:val="center"/>
            <w:hideMark/>
          </w:tcPr>
          <w:p w:rsidR="000C60B1" w:rsidRPr="000C60B1" w:rsidRDefault="00E41C4D" w:rsidP="00E41C4D">
            <w:pPr>
              <w:spacing w:after="0" w:line="240" w:lineRule="auto"/>
              <w:jc w:val="right"/>
              <w:rPr>
                <w:rFonts w:eastAsia="Times New Roman" w:cs="Calibri"/>
                <w:b/>
                <w:bCs/>
                <w:color w:val="000000"/>
                <w:lang w:eastAsia="es-MX"/>
              </w:rPr>
            </w:pPr>
            <w:r w:rsidRPr="00E41C4D">
              <w:rPr>
                <w:rFonts w:eastAsia="Times New Roman" w:cs="Calibri"/>
                <w:b/>
                <w:bCs/>
                <w:color w:val="000000"/>
                <w:lang w:eastAsia="es-MX"/>
              </w:rPr>
              <w:t>44</w:t>
            </w:r>
            <w:r>
              <w:rPr>
                <w:rFonts w:eastAsia="Times New Roman" w:cs="Calibri"/>
                <w:b/>
                <w:bCs/>
                <w:color w:val="000000"/>
                <w:lang w:eastAsia="es-MX"/>
              </w:rPr>
              <w:t>,</w:t>
            </w:r>
            <w:r w:rsidRPr="00E41C4D">
              <w:rPr>
                <w:rFonts w:eastAsia="Times New Roman" w:cs="Calibri"/>
                <w:b/>
                <w:bCs/>
                <w:color w:val="000000"/>
                <w:lang w:eastAsia="es-MX"/>
              </w:rPr>
              <w:t>990</w:t>
            </w:r>
            <w:r>
              <w:rPr>
                <w:rFonts w:eastAsia="Times New Roman" w:cs="Calibri"/>
                <w:b/>
                <w:bCs/>
                <w:color w:val="000000"/>
                <w:lang w:eastAsia="es-MX"/>
              </w:rPr>
              <w:t>,</w:t>
            </w:r>
            <w:r w:rsidRPr="00E41C4D">
              <w:rPr>
                <w:rFonts w:eastAsia="Times New Roman" w:cs="Calibri"/>
                <w:b/>
                <w:bCs/>
                <w:color w:val="000000"/>
                <w:lang w:eastAsia="es-MX"/>
              </w:rPr>
              <w:t>906.16</w:t>
            </w:r>
          </w:p>
        </w:tc>
      </w:tr>
    </w:tbl>
    <w:p w:rsidR="00F806CB" w:rsidRDefault="00F806CB" w:rsidP="00BD05A5">
      <w:pPr>
        <w:spacing w:after="0" w:line="240" w:lineRule="auto"/>
        <w:jc w:val="both"/>
        <w:rPr>
          <w:rFonts w:cs="Arial-BoldMT"/>
          <w:b/>
          <w:bCs/>
        </w:rPr>
      </w:pPr>
    </w:p>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BC643A" w:rsidRDefault="000E2539" w:rsidP="00BD05A5">
      <w:pPr>
        <w:spacing w:after="0" w:line="240" w:lineRule="auto"/>
        <w:jc w:val="both"/>
        <w:rPr>
          <w:color w:val="000000"/>
        </w:rPr>
      </w:pPr>
      <w:r>
        <w:rPr>
          <w:rFonts w:cs="Arial-BoldMT"/>
          <w:b/>
          <w:bCs/>
        </w:rPr>
        <w:t xml:space="preserve">EFE-01.- </w:t>
      </w:r>
      <w:r w:rsidRPr="000E2539">
        <w:rPr>
          <w:color w:val="000000"/>
        </w:rPr>
        <w:t xml:space="preserve">El análisis de los saldos inicial y final que figuran en la última parte del Estado de Flujo de Efectivo </w:t>
      </w:r>
    </w:p>
    <w:p w:rsidR="00BC643A" w:rsidRDefault="00E309E9" w:rsidP="00BD05A5">
      <w:pPr>
        <w:spacing w:after="0" w:line="240" w:lineRule="auto"/>
        <w:jc w:val="both"/>
        <w:rPr>
          <w:color w:val="000000"/>
        </w:rPr>
      </w:pPr>
      <w:r w:rsidRPr="000E2539">
        <w:rPr>
          <w:color w:val="000000"/>
        </w:rPr>
        <w:t>En</w:t>
      </w:r>
      <w:r w:rsidR="000E2539" w:rsidRPr="000E2539">
        <w:rPr>
          <w:color w:val="000000"/>
        </w:rPr>
        <w:t xml:space="preserve"> la cuenta de efectivo y equivalentes</w:t>
      </w:r>
      <w:r w:rsidR="000E2539">
        <w:rPr>
          <w:color w:val="000000"/>
        </w:rPr>
        <w:t>,</w:t>
      </w:r>
      <w:r w:rsidR="000E2539" w:rsidRPr="000E2539">
        <w:rPr>
          <w:color w:val="000000"/>
        </w:rPr>
        <w:t xml:space="preserve"> es como sigue:</w:t>
      </w:r>
    </w:p>
    <w:p w:rsidR="00900026" w:rsidRPr="00784A74" w:rsidRDefault="00900026" w:rsidP="00BD05A5">
      <w:pPr>
        <w:spacing w:after="0" w:line="240" w:lineRule="auto"/>
        <w:jc w:val="both"/>
        <w:rPr>
          <w:rFonts w:cs="Arial-BoldMT"/>
          <w:b/>
          <w:bCs/>
        </w:rPr>
      </w:pPr>
    </w:p>
    <w:tbl>
      <w:tblPr>
        <w:tblW w:w="7714" w:type="dxa"/>
        <w:tblInd w:w="51" w:type="dxa"/>
        <w:tblCellMar>
          <w:left w:w="70" w:type="dxa"/>
          <w:right w:w="70" w:type="dxa"/>
        </w:tblCellMar>
        <w:tblLook w:val="04A0"/>
      </w:tblPr>
      <w:tblGrid>
        <w:gridCol w:w="3345"/>
        <w:gridCol w:w="2072"/>
        <w:gridCol w:w="2297"/>
      </w:tblGrid>
      <w:tr w:rsidR="00861795" w:rsidRPr="00861795" w:rsidTr="00E309E9">
        <w:trPr>
          <w:trHeight w:val="193"/>
        </w:trPr>
        <w:tc>
          <w:tcPr>
            <w:tcW w:w="3345" w:type="dxa"/>
            <w:tcBorders>
              <w:top w:val="single" w:sz="8" w:space="0" w:color="auto"/>
              <w:left w:val="single" w:sz="8" w:space="0" w:color="auto"/>
              <w:bottom w:val="single" w:sz="8" w:space="0" w:color="auto"/>
              <w:right w:val="single" w:sz="8" w:space="0" w:color="auto"/>
            </w:tcBorders>
            <w:shd w:val="clear" w:color="000000" w:fill="D8D8D8"/>
            <w:noWrap/>
            <w:hideMark/>
          </w:tcPr>
          <w:p w:rsidR="00861795" w:rsidRPr="00861795" w:rsidRDefault="007D335F" w:rsidP="00861795">
            <w:pPr>
              <w:spacing w:after="0" w:line="240" w:lineRule="auto"/>
              <w:jc w:val="center"/>
              <w:rPr>
                <w:rFonts w:eastAsia="Times New Roman" w:cs="Calibri"/>
                <w:b/>
                <w:bCs/>
                <w:color w:val="000000"/>
                <w:lang w:eastAsia="es-MX"/>
              </w:rPr>
            </w:pPr>
            <w:r>
              <w:rPr>
                <w:rFonts w:eastAsia="Times New Roman" w:cs="Calibri"/>
                <w:b/>
                <w:bCs/>
                <w:noProof/>
                <w:color w:val="000000"/>
                <w:lang w:eastAsia="es-MX"/>
              </w:rPr>
              <w:pict>
                <v:shapetype id="_x0000_t32" coordsize="21600,21600" o:spt="32" o:oned="t" path="m,l21600,21600e" filled="f">
                  <v:path arrowok="t" fillok="f" o:connecttype="none"/>
                  <o:lock v:ext="edit" shapetype="t"/>
                </v:shapetype>
                <v:shape id="_x0000_s1026" type="#_x0000_t32" style="position:absolute;left:0;text-align:left;margin-left:-3.45pt;margin-top:5.1pt;width:0;height:89.75pt;z-index:1" o:connectortype="straight"/>
              </w:pict>
            </w:r>
            <w:r w:rsidR="00861795" w:rsidRPr="00861795">
              <w:rPr>
                <w:rFonts w:eastAsia="Times New Roman" w:cs="Calibri"/>
                <w:b/>
                <w:bCs/>
                <w:color w:val="000000"/>
                <w:lang w:eastAsia="es-MX"/>
              </w:rPr>
              <w:t>DESCR</w:t>
            </w:r>
            <w:r w:rsidR="00DB591A">
              <w:rPr>
                <w:rFonts w:eastAsia="Times New Roman" w:cs="Calibri"/>
                <w:b/>
                <w:bCs/>
                <w:color w:val="000000"/>
                <w:lang w:eastAsia="es-MX"/>
              </w:rPr>
              <w:t>I</w:t>
            </w:r>
            <w:r w:rsidR="00861795" w:rsidRPr="00861795">
              <w:rPr>
                <w:rFonts w:eastAsia="Times New Roman" w:cs="Calibri"/>
                <w:b/>
                <w:bCs/>
                <w:color w:val="000000"/>
                <w:lang w:eastAsia="es-MX"/>
              </w:rPr>
              <w:t>PCION DE LA CUENTA</w:t>
            </w:r>
          </w:p>
        </w:tc>
        <w:tc>
          <w:tcPr>
            <w:tcW w:w="2072"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E41C4D" w:rsidP="000F4895">
            <w:pPr>
              <w:spacing w:after="0" w:line="240" w:lineRule="auto"/>
              <w:jc w:val="center"/>
              <w:rPr>
                <w:rFonts w:eastAsia="Times New Roman" w:cs="Calibri"/>
                <w:b/>
                <w:bCs/>
                <w:color w:val="000000"/>
                <w:lang w:eastAsia="es-MX"/>
              </w:rPr>
            </w:pPr>
            <w:r>
              <w:rPr>
                <w:rFonts w:eastAsia="Times New Roman" w:cs="Calibri"/>
                <w:b/>
                <w:bCs/>
                <w:color w:val="000000"/>
                <w:lang w:eastAsia="es-MX"/>
              </w:rPr>
              <w:t>2</w:t>
            </w:r>
            <w:r w:rsidR="00E309E9">
              <w:rPr>
                <w:rFonts w:eastAsia="Times New Roman" w:cs="Calibri"/>
                <w:b/>
                <w:bCs/>
                <w:color w:val="000000"/>
                <w:lang w:eastAsia="es-MX"/>
              </w:rPr>
              <w:t>° trimestre 2017</w:t>
            </w:r>
          </w:p>
        </w:tc>
        <w:tc>
          <w:tcPr>
            <w:tcW w:w="2297"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E41C4D" w:rsidP="000F4895">
            <w:pPr>
              <w:spacing w:after="0" w:line="240" w:lineRule="auto"/>
              <w:jc w:val="center"/>
              <w:rPr>
                <w:rFonts w:eastAsia="Times New Roman" w:cs="Calibri"/>
                <w:b/>
                <w:bCs/>
                <w:color w:val="000000"/>
                <w:lang w:eastAsia="es-MX"/>
              </w:rPr>
            </w:pPr>
            <w:r>
              <w:rPr>
                <w:rFonts w:eastAsia="Times New Roman" w:cs="Calibri"/>
                <w:b/>
                <w:bCs/>
                <w:color w:val="000000"/>
                <w:lang w:eastAsia="es-MX"/>
              </w:rPr>
              <w:t>2</w:t>
            </w:r>
            <w:r w:rsidR="00E309E9">
              <w:rPr>
                <w:rFonts w:eastAsia="Times New Roman" w:cs="Calibri"/>
                <w:b/>
                <w:bCs/>
                <w:color w:val="000000"/>
                <w:lang w:eastAsia="es-MX"/>
              </w:rPr>
              <w:t>° trimestre 201</w:t>
            </w:r>
            <w:r>
              <w:rPr>
                <w:rFonts w:eastAsia="Times New Roman" w:cs="Calibri"/>
                <w:b/>
                <w:bCs/>
                <w:color w:val="000000"/>
                <w:lang w:eastAsia="es-MX"/>
              </w:rPr>
              <w:t>6</w:t>
            </w:r>
          </w:p>
        </w:tc>
      </w:tr>
      <w:tr w:rsidR="000F4895" w:rsidRPr="00861795" w:rsidTr="00C22772">
        <w:trPr>
          <w:trHeight w:val="229"/>
        </w:trPr>
        <w:tc>
          <w:tcPr>
            <w:tcW w:w="3345" w:type="dxa"/>
            <w:tcBorders>
              <w:top w:val="nil"/>
              <w:left w:val="nil"/>
              <w:bottom w:val="single" w:sz="8" w:space="0" w:color="auto"/>
              <w:right w:val="single" w:sz="8" w:space="0" w:color="auto"/>
            </w:tcBorders>
            <w:shd w:val="clear" w:color="auto" w:fill="auto"/>
            <w:hideMark/>
          </w:tcPr>
          <w:p w:rsidR="000F4895" w:rsidRPr="00DB591A" w:rsidRDefault="000F4895" w:rsidP="00861795">
            <w:pPr>
              <w:spacing w:after="0" w:line="240" w:lineRule="auto"/>
              <w:rPr>
                <w:rFonts w:eastAsia="Times New Roman"/>
                <w:color w:val="000000"/>
              </w:rPr>
            </w:pPr>
            <w:r w:rsidRPr="00DB591A">
              <w:rPr>
                <w:rFonts w:eastAsia="Times New Roman"/>
                <w:color w:val="000000"/>
              </w:rPr>
              <w:t xml:space="preserve">FONDOS FIJOS DE CAJA </w:t>
            </w:r>
            <w:r>
              <w:rPr>
                <w:rFonts w:eastAsia="Times New Roman"/>
                <w:color w:val="000000"/>
              </w:rPr>
              <w:t>–</w:t>
            </w:r>
            <w:r w:rsidRPr="00DB591A">
              <w:rPr>
                <w:rFonts w:eastAsia="Times New Roman"/>
                <w:color w:val="000000"/>
              </w:rPr>
              <w:t xml:space="preserve"> EMPLEADOS</w:t>
            </w:r>
          </w:p>
        </w:tc>
        <w:tc>
          <w:tcPr>
            <w:tcW w:w="2072"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17,350.00</w:t>
            </w:r>
          </w:p>
        </w:tc>
        <w:tc>
          <w:tcPr>
            <w:tcW w:w="2297"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17,350.00</w:t>
            </w:r>
          </w:p>
        </w:tc>
      </w:tr>
      <w:tr w:rsidR="000F4895" w:rsidRPr="00861795" w:rsidTr="00C22772">
        <w:trPr>
          <w:trHeight w:val="229"/>
        </w:trPr>
        <w:tc>
          <w:tcPr>
            <w:tcW w:w="3345" w:type="dxa"/>
            <w:tcBorders>
              <w:top w:val="nil"/>
              <w:left w:val="nil"/>
              <w:bottom w:val="single" w:sz="8" w:space="0" w:color="auto"/>
              <w:right w:val="single" w:sz="8" w:space="0" w:color="auto"/>
            </w:tcBorders>
            <w:shd w:val="clear" w:color="auto" w:fill="auto"/>
            <w:hideMark/>
          </w:tcPr>
          <w:p w:rsidR="000F4895" w:rsidRPr="00DB591A" w:rsidRDefault="000F4895" w:rsidP="00861795">
            <w:pPr>
              <w:spacing w:after="0" w:line="240" w:lineRule="auto"/>
              <w:rPr>
                <w:rFonts w:eastAsia="Times New Roman"/>
                <w:color w:val="000000"/>
              </w:rPr>
            </w:pPr>
            <w:r w:rsidRPr="00DB591A">
              <w:rPr>
                <w:rFonts w:eastAsia="Times New Roman"/>
                <w:color w:val="000000"/>
              </w:rPr>
              <w:t>BANCOS MONEDA NACIONAL - CUENTAS BANCARIAS</w:t>
            </w:r>
          </w:p>
        </w:tc>
        <w:tc>
          <w:tcPr>
            <w:tcW w:w="2072"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7,104,151.44</w:t>
            </w:r>
          </w:p>
        </w:tc>
        <w:tc>
          <w:tcPr>
            <w:tcW w:w="2297"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6,782,459.56</w:t>
            </w:r>
          </w:p>
        </w:tc>
      </w:tr>
      <w:tr w:rsidR="000F4895" w:rsidRPr="00861795" w:rsidTr="00C22772">
        <w:trPr>
          <w:trHeight w:val="229"/>
        </w:trPr>
        <w:tc>
          <w:tcPr>
            <w:tcW w:w="3345" w:type="dxa"/>
            <w:tcBorders>
              <w:top w:val="nil"/>
              <w:left w:val="nil"/>
              <w:bottom w:val="single" w:sz="8" w:space="0" w:color="auto"/>
              <w:right w:val="single" w:sz="8" w:space="0" w:color="auto"/>
            </w:tcBorders>
            <w:shd w:val="clear" w:color="auto" w:fill="auto"/>
            <w:hideMark/>
          </w:tcPr>
          <w:p w:rsidR="000F4895" w:rsidRPr="00DB591A" w:rsidRDefault="000F4895" w:rsidP="00861795">
            <w:pPr>
              <w:spacing w:after="0" w:line="240" w:lineRule="auto"/>
              <w:rPr>
                <w:rFonts w:eastAsia="Times New Roman"/>
                <w:color w:val="000000"/>
              </w:rPr>
            </w:pPr>
            <w:r w:rsidRPr="00DB591A">
              <w:rPr>
                <w:rFonts w:eastAsia="Times New Roman"/>
                <w:color w:val="000000"/>
              </w:rPr>
              <w:t xml:space="preserve">DEPÓSITOS EN GARANTÍA </w:t>
            </w:r>
            <w:r>
              <w:rPr>
                <w:rFonts w:eastAsia="Times New Roman"/>
                <w:color w:val="000000"/>
              </w:rPr>
              <w:t>–</w:t>
            </w:r>
            <w:r w:rsidRPr="00DB591A">
              <w:rPr>
                <w:rFonts w:eastAsia="Times New Roman"/>
                <w:color w:val="000000"/>
              </w:rPr>
              <w:t xml:space="preserve"> PRESTADORES DE SERVICIO</w:t>
            </w:r>
          </w:p>
        </w:tc>
        <w:tc>
          <w:tcPr>
            <w:tcW w:w="2072"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76,269.00</w:t>
            </w:r>
          </w:p>
        </w:tc>
        <w:tc>
          <w:tcPr>
            <w:tcW w:w="2297" w:type="dxa"/>
            <w:tcBorders>
              <w:top w:val="nil"/>
              <w:left w:val="nil"/>
              <w:bottom w:val="single" w:sz="8" w:space="0" w:color="auto"/>
              <w:right w:val="single" w:sz="8" w:space="0" w:color="auto"/>
            </w:tcBorders>
            <w:shd w:val="clear" w:color="auto" w:fill="auto"/>
            <w:hideMark/>
          </w:tcPr>
          <w:p w:rsidR="000F4895" w:rsidRDefault="000F4895">
            <w:pPr>
              <w:jc w:val="right"/>
              <w:rPr>
                <w:rFonts w:cs="Calibri"/>
                <w:color w:val="000000"/>
              </w:rPr>
            </w:pPr>
            <w:r>
              <w:rPr>
                <w:rFonts w:cs="Calibri"/>
                <w:color w:val="000000"/>
              </w:rPr>
              <w:t>20,424.00</w:t>
            </w:r>
          </w:p>
        </w:tc>
      </w:tr>
      <w:tr w:rsidR="000F4895" w:rsidRPr="00861795" w:rsidTr="00C22772">
        <w:trPr>
          <w:trHeight w:val="376"/>
        </w:trPr>
        <w:tc>
          <w:tcPr>
            <w:tcW w:w="3345" w:type="dxa"/>
            <w:tcBorders>
              <w:top w:val="nil"/>
              <w:left w:val="single" w:sz="8" w:space="0" w:color="auto"/>
              <w:bottom w:val="single" w:sz="8" w:space="0" w:color="auto"/>
              <w:right w:val="single" w:sz="8" w:space="0" w:color="auto"/>
            </w:tcBorders>
            <w:shd w:val="clear" w:color="000000" w:fill="BFBFBF"/>
            <w:hideMark/>
          </w:tcPr>
          <w:p w:rsidR="000F4895" w:rsidRPr="00861795" w:rsidRDefault="000F4895" w:rsidP="00861795">
            <w:pPr>
              <w:spacing w:after="0" w:line="240" w:lineRule="auto"/>
              <w:rPr>
                <w:rFonts w:eastAsia="Times New Roman" w:cs="Calibri"/>
                <w:b/>
                <w:bCs/>
                <w:color w:val="000000"/>
                <w:lang w:eastAsia="es-MX"/>
              </w:rPr>
            </w:pPr>
            <w:r w:rsidRPr="00861795">
              <w:rPr>
                <w:rFonts w:eastAsia="Times New Roman" w:cs="Calibri"/>
                <w:b/>
                <w:bCs/>
                <w:color w:val="000000"/>
                <w:lang w:eastAsia="es-MX"/>
              </w:rPr>
              <w:t xml:space="preserve">   Total de Efectivo y Equivalentes</w:t>
            </w:r>
          </w:p>
        </w:tc>
        <w:tc>
          <w:tcPr>
            <w:tcW w:w="2072" w:type="dxa"/>
            <w:tcBorders>
              <w:top w:val="nil"/>
              <w:left w:val="nil"/>
              <w:bottom w:val="single" w:sz="8" w:space="0" w:color="auto"/>
              <w:right w:val="single" w:sz="8" w:space="0" w:color="auto"/>
            </w:tcBorders>
            <w:shd w:val="clear" w:color="000000" w:fill="BFBFBF"/>
            <w:hideMark/>
          </w:tcPr>
          <w:p w:rsidR="000F4895" w:rsidRDefault="000F4895">
            <w:pPr>
              <w:jc w:val="right"/>
              <w:rPr>
                <w:rFonts w:cs="Calibri"/>
                <w:b/>
                <w:bCs/>
                <w:color w:val="000000"/>
              </w:rPr>
            </w:pPr>
            <w:r>
              <w:rPr>
                <w:rFonts w:cs="Calibri"/>
                <w:b/>
                <w:bCs/>
                <w:color w:val="000000"/>
              </w:rPr>
              <w:t>7,197,770.44</w:t>
            </w:r>
          </w:p>
        </w:tc>
        <w:tc>
          <w:tcPr>
            <w:tcW w:w="2297" w:type="dxa"/>
            <w:tcBorders>
              <w:top w:val="nil"/>
              <w:left w:val="nil"/>
              <w:bottom w:val="single" w:sz="8" w:space="0" w:color="auto"/>
              <w:right w:val="single" w:sz="8" w:space="0" w:color="auto"/>
            </w:tcBorders>
            <w:shd w:val="clear" w:color="000000" w:fill="BFBFBF"/>
            <w:hideMark/>
          </w:tcPr>
          <w:p w:rsidR="000F4895" w:rsidRDefault="000F4895">
            <w:pPr>
              <w:jc w:val="right"/>
              <w:rPr>
                <w:rFonts w:cs="Calibri"/>
                <w:b/>
                <w:bCs/>
                <w:color w:val="000000"/>
              </w:rPr>
            </w:pPr>
            <w:r>
              <w:rPr>
                <w:rFonts w:cs="Calibri"/>
                <w:b/>
                <w:bCs/>
                <w:color w:val="000000"/>
              </w:rPr>
              <w:t>6,820,233.56</w:t>
            </w:r>
          </w:p>
        </w:tc>
      </w:tr>
    </w:tbl>
    <w:p w:rsidR="00900026" w:rsidRDefault="00900026" w:rsidP="000B440B">
      <w:pPr>
        <w:spacing w:after="0" w:line="240" w:lineRule="auto"/>
        <w:jc w:val="both"/>
        <w:rPr>
          <w:rFonts w:cs="Arial-BoldMT"/>
          <w:b/>
          <w:bCs/>
        </w:rPr>
      </w:pPr>
    </w:p>
    <w:p w:rsidR="00E875D9" w:rsidRPr="00587CD9" w:rsidRDefault="00900026" w:rsidP="009C1E0F">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8384" w:type="dxa"/>
        <w:tblInd w:w="60" w:type="dxa"/>
        <w:tblCellMar>
          <w:left w:w="70" w:type="dxa"/>
          <w:right w:w="70" w:type="dxa"/>
        </w:tblCellMar>
        <w:tblLook w:val="04A0"/>
      </w:tblPr>
      <w:tblGrid>
        <w:gridCol w:w="4048"/>
        <w:gridCol w:w="2613"/>
        <w:gridCol w:w="1723"/>
      </w:tblGrid>
      <w:tr w:rsidR="000F4895" w:rsidRPr="000F4895" w:rsidTr="000F4895">
        <w:trPr>
          <w:trHeight w:val="186"/>
        </w:trPr>
        <w:tc>
          <w:tcPr>
            <w:tcW w:w="4048" w:type="dxa"/>
            <w:tcBorders>
              <w:top w:val="single" w:sz="8" w:space="0" w:color="auto"/>
              <w:left w:val="single" w:sz="8" w:space="0" w:color="auto"/>
              <w:bottom w:val="single" w:sz="8" w:space="0" w:color="auto"/>
              <w:right w:val="single" w:sz="8" w:space="0" w:color="auto"/>
            </w:tcBorders>
            <w:shd w:val="clear" w:color="000000" w:fill="BFBFBF"/>
            <w:hideMark/>
          </w:tcPr>
          <w:p w:rsidR="000F4895" w:rsidRPr="000F4895" w:rsidRDefault="000F4895" w:rsidP="000F4895">
            <w:pPr>
              <w:spacing w:after="0" w:line="240" w:lineRule="auto"/>
              <w:rPr>
                <w:rFonts w:ascii="Arial" w:eastAsia="Times New Roman" w:hAnsi="Arial" w:cs="Arial"/>
                <w:b/>
                <w:bCs/>
                <w:color w:val="000000"/>
                <w:sz w:val="16"/>
                <w:szCs w:val="16"/>
                <w:lang w:eastAsia="es-MX"/>
              </w:rPr>
            </w:pPr>
            <w:r w:rsidRPr="000F4895">
              <w:rPr>
                <w:rFonts w:ascii="Arial" w:eastAsia="Times New Roman" w:hAnsi="Arial" w:cs="Arial"/>
                <w:b/>
                <w:bCs/>
                <w:color w:val="000000"/>
                <w:sz w:val="16"/>
                <w:szCs w:val="16"/>
                <w:lang w:eastAsia="es-MX"/>
              </w:rPr>
              <w:t>DESCRIPCION DE LA CUENTA</w:t>
            </w:r>
          </w:p>
        </w:tc>
        <w:tc>
          <w:tcPr>
            <w:tcW w:w="2613" w:type="dxa"/>
            <w:tcBorders>
              <w:top w:val="single" w:sz="8" w:space="0" w:color="auto"/>
              <w:left w:val="nil"/>
              <w:bottom w:val="single" w:sz="8" w:space="0" w:color="auto"/>
              <w:right w:val="single" w:sz="8" w:space="0" w:color="auto"/>
            </w:tcBorders>
            <w:shd w:val="clear" w:color="000000" w:fill="BFBFBF"/>
            <w:hideMark/>
          </w:tcPr>
          <w:p w:rsidR="000F4895" w:rsidRPr="000F4895" w:rsidRDefault="000F4895" w:rsidP="000F4895">
            <w:pPr>
              <w:spacing w:after="0" w:line="240" w:lineRule="auto"/>
              <w:rPr>
                <w:rFonts w:ascii="Arial" w:eastAsia="Times New Roman" w:hAnsi="Arial" w:cs="Arial"/>
                <w:b/>
                <w:bCs/>
                <w:color w:val="000000"/>
                <w:sz w:val="16"/>
                <w:szCs w:val="16"/>
                <w:lang w:eastAsia="es-MX"/>
              </w:rPr>
            </w:pPr>
            <w:r w:rsidRPr="000F4895">
              <w:rPr>
                <w:rFonts w:ascii="Arial" w:eastAsia="Times New Roman" w:hAnsi="Arial" w:cs="Arial"/>
                <w:b/>
                <w:bCs/>
                <w:color w:val="000000"/>
                <w:sz w:val="16"/>
                <w:szCs w:val="16"/>
                <w:lang w:eastAsia="es-MX"/>
              </w:rPr>
              <w:t>SEGUNDO TRIMESTRE</w:t>
            </w:r>
          </w:p>
        </w:tc>
        <w:tc>
          <w:tcPr>
            <w:tcW w:w="1723" w:type="dxa"/>
            <w:tcBorders>
              <w:top w:val="single" w:sz="8" w:space="0" w:color="auto"/>
              <w:left w:val="nil"/>
              <w:bottom w:val="single" w:sz="8" w:space="0" w:color="auto"/>
              <w:right w:val="single" w:sz="8" w:space="0" w:color="auto"/>
            </w:tcBorders>
            <w:shd w:val="clear" w:color="000000" w:fill="BFBFBF"/>
            <w:hideMark/>
          </w:tcPr>
          <w:p w:rsidR="000F4895" w:rsidRPr="000F4895" w:rsidRDefault="000F4895" w:rsidP="000F4895">
            <w:pPr>
              <w:spacing w:after="0" w:line="240" w:lineRule="auto"/>
              <w:rPr>
                <w:rFonts w:ascii="Arial" w:eastAsia="Times New Roman" w:hAnsi="Arial" w:cs="Arial"/>
                <w:b/>
                <w:bCs/>
                <w:color w:val="000000"/>
                <w:sz w:val="16"/>
                <w:szCs w:val="16"/>
                <w:lang w:eastAsia="es-MX"/>
              </w:rPr>
            </w:pPr>
            <w:r w:rsidRPr="000F4895">
              <w:rPr>
                <w:rFonts w:ascii="Arial" w:eastAsia="Times New Roman" w:hAnsi="Arial" w:cs="Arial"/>
                <w:b/>
                <w:bCs/>
                <w:color w:val="000000"/>
                <w:sz w:val="16"/>
                <w:szCs w:val="16"/>
                <w:lang w:eastAsia="es-MX"/>
              </w:rPr>
              <w:t>CAPITAL DEL SECTOR CENTRAL</w:t>
            </w:r>
          </w:p>
        </w:tc>
      </w:tr>
      <w:tr w:rsidR="000F4895" w:rsidRPr="000F4895" w:rsidTr="000F4895">
        <w:trPr>
          <w:trHeight w:val="133"/>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EDIFICACIÓN NO HABITACIONAL EN PROCESO</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43,834.00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263"/>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DIVISIÓN DE TERRENOS Y CONSTRUCCIÓN DE OBRAS DE URBANIZACIÓN EN PROCESO</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238,681.60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392"/>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CONSTRUCCIÓN DE OBRAS PARA EL ABASTECIMIENTO DE AGUA, PETRÓLEO, GAS, ELECTRICIDAD Y TELECOMUNICACIONES EN PROCESO</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152,444.30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199"/>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DIVISIÓN DE TERRENOS Y CONSTRUCCIÓN DE OBRAS DE URBANIZACIÓN</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1,830,926.12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133"/>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CONSTRUCCIÓN DE VÍAS DE </w:t>
            </w:r>
            <w:r w:rsidRPr="000F4895">
              <w:rPr>
                <w:rFonts w:ascii="Arial" w:eastAsia="Times New Roman" w:hAnsi="Arial" w:cs="Arial"/>
                <w:color w:val="000000"/>
                <w:sz w:val="18"/>
                <w:szCs w:val="18"/>
                <w:lang w:eastAsia="es-MX"/>
              </w:rPr>
              <w:lastRenderedPageBreak/>
              <w:t>COMUNICACIÓN EN PROCESO</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lastRenderedPageBreak/>
              <w:t xml:space="preserve">                 363,512.56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133"/>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lastRenderedPageBreak/>
              <w:t>MUEBLES DE OFICINA Y ESTANTERÍA</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16,040.00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133"/>
        </w:trPr>
        <w:tc>
          <w:tcPr>
            <w:tcW w:w="4048" w:type="dxa"/>
            <w:tcBorders>
              <w:top w:val="nil"/>
              <w:left w:val="single" w:sz="8" w:space="0" w:color="auto"/>
              <w:bottom w:val="single" w:sz="8" w:space="0" w:color="auto"/>
              <w:right w:val="single" w:sz="8" w:space="0" w:color="auto"/>
            </w:tcBorders>
            <w:shd w:val="clear" w:color="auto" w:fill="auto"/>
            <w:hideMark/>
          </w:tcPr>
          <w:p w:rsidR="000F4895" w:rsidRPr="000F4895" w:rsidRDefault="000F4895" w:rsidP="000F4895">
            <w:pPr>
              <w:spacing w:after="0" w:line="240" w:lineRule="auto"/>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OTROS MOBILIARIOS Y EQUIPOS DE ADMINISTRACIÓN</w:t>
            </w:r>
          </w:p>
        </w:tc>
        <w:tc>
          <w:tcPr>
            <w:tcW w:w="261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 xml:space="preserve">                     5,460.00 </w:t>
            </w:r>
          </w:p>
        </w:tc>
        <w:tc>
          <w:tcPr>
            <w:tcW w:w="1723" w:type="dxa"/>
            <w:tcBorders>
              <w:top w:val="nil"/>
              <w:left w:val="nil"/>
              <w:bottom w:val="single" w:sz="8" w:space="0" w:color="auto"/>
              <w:right w:val="single" w:sz="8" w:space="0" w:color="auto"/>
            </w:tcBorders>
            <w:shd w:val="clear" w:color="auto" w:fill="auto"/>
            <w:hideMark/>
          </w:tcPr>
          <w:p w:rsidR="000F4895" w:rsidRPr="000F4895" w:rsidRDefault="000F4895" w:rsidP="000F4895">
            <w:pPr>
              <w:spacing w:after="0" w:line="240" w:lineRule="auto"/>
              <w:jc w:val="right"/>
              <w:rPr>
                <w:rFonts w:ascii="Arial" w:eastAsia="Times New Roman" w:hAnsi="Arial" w:cs="Arial"/>
                <w:color w:val="000000"/>
                <w:sz w:val="18"/>
                <w:szCs w:val="18"/>
                <w:lang w:eastAsia="es-MX"/>
              </w:rPr>
            </w:pPr>
            <w:r w:rsidRPr="000F4895">
              <w:rPr>
                <w:rFonts w:ascii="Arial" w:eastAsia="Times New Roman" w:hAnsi="Arial" w:cs="Arial"/>
                <w:color w:val="000000"/>
                <w:sz w:val="18"/>
                <w:szCs w:val="18"/>
                <w:lang w:eastAsia="es-MX"/>
              </w:rPr>
              <w:t>100%</w:t>
            </w:r>
          </w:p>
        </w:tc>
      </w:tr>
      <w:tr w:rsidR="000F4895" w:rsidRPr="000F4895" w:rsidTr="000F4895">
        <w:trPr>
          <w:trHeight w:val="247"/>
        </w:trPr>
        <w:tc>
          <w:tcPr>
            <w:tcW w:w="4048" w:type="dxa"/>
            <w:tcBorders>
              <w:top w:val="nil"/>
              <w:left w:val="single" w:sz="8" w:space="0" w:color="auto"/>
              <w:bottom w:val="single" w:sz="8" w:space="0" w:color="auto"/>
              <w:right w:val="single" w:sz="8" w:space="0" w:color="auto"/>
            </w:tcBorders>
            <w:shd w:val="clear" w:color="000000" w:fill="BFBFBF"/>
            <w:hideMark/>
          </w:tcPr>
          <w:p w:rsidR="000F4895" w:rsidRPr="000F4895" w:rsidRDefault="000F4895" w:rsidP="000F4895">
            <w:pPr>
              <w:spacing w:after="0" w:line="240" w:lineRule="auto"/>
              <w:rPr>
                <w:rFonts w:eastAsia="Times New Roman" w:cs="Calibri"/>
                <w:b/>
                <w:bCs/>
                <w:color w:val="000000"/>
                <w:lang w:eastAsia="es-MX"/>
              </w:rPr>
            </w:pPr>
            <w:r w:rsidRPr="000F4895">
              <w:rPr>
                <w:rFonts w:eastAsia="Times New Roman" w:cs="Calibri"/>
                <w:b/>
                <w:bCs/>
                <w:color w:val="000000"/>
                <w:lang w:eastAsia="es-MX"/>
              </w:rPr>
              <w:t>TOTAL DE ADQUISICIÓN DE BIENES MUEBLES E INMUEBLES</w:t>
            </w:r>
          </w:p>
        </w:tc>
        <w:tc>
          <w:tcPr>
            <w:tcW w:w="2613" w:type="dxa"/>
            <w:tcBorders>
              <w:top w:val="nil"/>
              <w:left w:val="nil"/>
              <w:bottom w:val="single" w:sz="8" w:space="0" w:color="auto"/>
              <w:right w:val="single" w:sz="8" w:space="0" w:color="auto"/>
            </w:tcBorders>
            <w:shd w:val="clear" w:color="000000" w:fill="BFBFBF"/>
            <w:hideMark/>
          </w:tcPr>
          <w:p w:rsidR="000F4895" w:rsidRPr="000F4895" w:rsidRDefault="000F4895" w:rsidP="000F4895">
            <w:pPr>
              <w:spacing w:after="0" w:line="240" w:lineRule="auto"/>
              <w:jc w:val="right"/>
              <w:rPr>
                <w:rFonts w:eastAsia="Times New Roman" w:cs="Calibri"/>
                <w:b/>
                <w:bCs/>
                <w:color w:val="000000"/>
                <w:lang w:eastAsia="es-MX"/>
              </w:rPr>
            </w:pPr>
            <w:r w:rsidRPr="000F4895">
              <w:rPr>
                <w:rFonts w:eastAsia="Times New Roman" w:cs="Calibri"/>
                <w:b/>
                <w:bCs/>
                <w:color w:val="000000"/>
                <w:lang w:eastAsia="es-MX"/>
              </w:rPr>
              <w:t xml:space="preserve">            2,650,898.58 </w:t>
            </w:r>
          </w:p>
        </w:tc>
        <w:tc>
          <w:tcPr>
            <w:tcW w:w="1723" w:type="dxa"/>
            <w:tcBorders>
              <w:top w:val="nil"/>
              <w:left w:val="nil"/>
              <w:bottom w:val="single" w:sz="8" w:space="0" w:color="auto"/>
              <w:right w:val="single" w:sz="8" w:space="0" w:color="auto"/>
            </w:tcBorders>
            <w:shd w:val="clear" w:color="000000" w:fill="BFBFBF"/>
            <w:hideMark/>
          </w:tcPr>
          <w:p w:rsidR="000F4895" w:rsidRPr="000F4895" w:rsidRDefault="000F4895" w:rsidP="000F4895">
            <w:pPr>
              <w:spacing w:after="0" w:line="240" w:lineRule="auto"/>
              <w:jc w:val="right"/>
              <w:rPr>
                <w:rFonts w:eastAsia="Times New Roman" w:cs="Calibri"/>
                <w:b/>
                <w:bCs/>
                <w:color w:val="000000"/>
                <w:lang w:eastAsia="es-MX"/>
              </w:rPr>
            </w:pPr>
            <w:r w:rsidRPr="000F4895">
              <w:rPr>
                <w:rFonts w:eastAsia="Times New Roman" w:cs="Calibri"/>
                <w:b/>
                <w:bCs/>
                <w:color w:val="000000"/>
                <w:lang w:eastAsia="es-MX"/>
              </w:rPr>
              <w:t>100%</w:t>
            </w:r>
          </w:p>
        </w:tc>
      </w:tr>
    </w:tbl>
    <w:p w:rsidR="009C1E0F" w:rsidRPr="00047A0D"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909" w:type="dxa"/>
        <w:tblInd w:w="93" w:type="dxa"/>
        <w:tblLook w:val="04A0"/>
      </w:tblPr>
      <w:tblGrid>
        <w:gridCol w:w="5235"/>
        <w:gridCol w:w="2019"/>
        <w:gridCol w:w="1655"/>
      </w:tblGrid>
      <w:tr w:rsidR="00DF34A0" w:rsidRPr="006D69B3" w:rsidTr="00970771">
        <w:trPr>
          <w:trHeight w:val="301"/>
        </w:trPr>
        <w:tc>
          <w:tcPr>
            <w:tcW w:w="52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 </w:t>
            </w:r>
          </w:p>
        </w:tc>
        <w:tc>
          <w:tcPr>
            <w:tcW w:w="2019"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w:t>
            </w:r>
            <w:r w:rsidR="000F4895">
              <w:rPr>
                <w:rFonts w:eastAsia="Times New Roman"/>
                <w:color w:val="000000"/>
                <w:lang w:val="en-US"/>
              </w:rPr>
              <w:t>7</w:t>
            </w:r>
          </w:p>
        </w:tc>
        <w:tc>
          <w:tcPr>
            <w:tcW w:w="1655"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w:t>
            </w:r>
            <w:r w:rsidR="000F4895">
              <w:rPr>
                <w:rFonts w:eastAsia="Times New Roman"/>
                <w:color w:val="000000"/>
                <w:lang w:val="en-US"/>
              </w:rPr>
              <w:t>6</w:t>
            </w:r>
          </w:p>
        </w:tc>
      </w:tr>
      <w:tr w:rsidR="00DF34A0" w:rsidRPr="006D69B3" w:rsidTr="00970771">
        <w:trPr>
          <w:trHeight w:val="51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b/>
                <w:bCs/>
                <w:color w:val="000000"/>
              </w:rPr>
            </w:pPr>
            <w:r w:rsidRPr="00DF7E1A">
              <w:rPr>
                <w:rFonts w:eastAsia="Times New Roman"/>
                <w:b/>
                <w:bCs/>
                <w:color w:val="000000"/>
              </w:rPr>
              <w:t>Ahorro/Desahorro antes de rubros Extraordinarios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3571BA" w:rsidP="000F4895">
            <w:pPr>
              <w:spacing w:after="0" w:line="240" w:lineRule="auto"/>
              <w:jc w:val="right"/>
              <w:rPr>
                <w:rFonts w:eastAsia="Times New Roman"/>
                <w:color w:val="000000"/>
              </w:rPr>
            </w:pPr>
            <w:r>
              <w:rPr>
                <w:rFonts w:eastAsia="Times New Roman"/>
                <w:color w:val="000000"/>
              </w:rPr>
              <w:t>$</w:t>
            </w:r>
            <w:r w:rsidR="00DF34A0" w:rsidRPr="00B64794">
              <w:rPr>
                <w:rFonts w:eastAsia="Times New Roman"/>
                <w:color w:val="000000"/>
              </w:rPr>
              <w:t> </w:t>
            </w:r>
            <w:r w:rsidR="000F4895" w:rsidRPr="000F4895">
              <w:rPr>
                <w:rFonts w:eastAsia="Times New Roman"/>
                <w:color w:val="000000"/>
              </w:rPr>
              <w:t>4</w:t>
            </w:r>
            <w:r w:rsidR="000F4895">
              <w:rPr>
                <w:rFonts w:eastAsia="Times New Roman"/>
                <w:color w:val="000000"/>
              </w:rPr>
              <w:t>,</w:t>
            </w:r>
            <w:r w:rsidR="000F4895" w:rsidRPr="000F4895">
              <w:rPr>
                <w:rFonts w:eastAsia="Times New Roman"/>
                <w:color w:val="000000"/>
              </w:rPr>
              <w:t>819</w:t>
            </w:r>
            <w:r w:rsidR="000F4895">
              <w:rPr>
                <w:rFonts w:eastAsia="Times New Roman"/>
                <w:color w:val="000000"/>
              </w:rPr>
              <w:t>,</w:t>
            </w:r>
            <w:r w:rsidR="000F4895" w:rsidRPr="000F4895">
              <w:rPr>
                <w:rFonts w:eastAsia="Times New Roman"/>
                <w:color w:val="000000"/>
              </w:rPr>
              <w:t>894.2</w:t>
            </w:r>
            <w:r w:rsidR="000F4895">
              <w:rPr>
                <w:rFonts w:eastAsia="Times New Roman"/>
                <w:color w:val="000000"/>
              </w:rPr>
              <w:t>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0F4895">
            <w:pPr>
              <w:spacing w:after="0" w:line="240" w:lineRule="auto"/>
              <w:jc w:val="right"/>
              <w:rPr>
                <w:rFonts w:eastAsia="Times New Roman"/>
                <w:color w:val="000000"/>
              </w:rPr>
            </w:pPr>
            <w:r w:rsidRPr="00B64794">
              <w:rPr>
                <w:rFonts w:eastAsia="Times New Roman"/>
                <w:color w:val="000000"/>
              </w:rPr>
              <w:t> </w:t>
            </w:r>
            <w:r w:rsidR="003571BA">
              <w:rPr>
                <w:rFonts w:eastAsia="Times New Roman"/>
                <w:color w:val="000000"/>
              </w:rPr>
              <w:t>$</w:t>
            </w:r>
            <w:r w:rsidR="00574CBC">
              <w:rPr>
                <w:rFonts w:eastAsia="Times New Roman"/>
                <w:color w:val="000000"/>
              </w:rPr>
              <w:t xml:space="preserve">  </w:t>
            </w:r>
            <w:r w:rsidR="000F4895" w:rsidRPr="000F4895">
              <w:rPr>
                <w:rFonts w:eastAsia="Times New Roman"/>
                <w:color w:val="000000"/>
              </w:rPr>
              <w:t>5</w:t>
            </w:r>
            <w:r w:rsidR="000F4895">
              <w:rPr>
                <w:rFonts w:eastAsia="Times New Roman"/>
                <w:color w:val="000000"/>
              </w:rPr>
              <w:t>,</w:t>
            </w:r>
            <w:r w:rsidR="000F4895" w:rsidRPr="000F4895">
              <w:rPr>
                <w:rFonts w:eastAsia="Times New Roman"/>
                <w:color w:val="000000"/>
              </w:rPr>
              <w:t>622</w:t>
            </w:r>
            <w:r w:rsidR="000F4895">
              <w:rPr>
                <w:rFonts w:eastAsia="Times New Roman"/>
                <w:color w:val="000000"/>
              </w:rPr>
              <w:t>,</w:t>
            </w:r>
            <w:r w:rsidR="000F4895" w:rsidRPr="000F4895">
              <w:rPr>
                <w:rFonts w:eastAsia="Times New Roman"/>
                <w:color w:val="000000"/>
              </w:rPr>
              <w:t>143.5</w:t>
            </w:r>
            <w:r w:rsidR="000F4895">
              <w:rPr>
                <w:rFonts w:eastAsia="Times New Roman"/>
                <w:color w:val="000000"/>
              </w:rPr>
              <w:t>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color w:val="000000"/>
              </w:rPr>
            </w:pPr>
            <w:r w:rsidRPr="00DF7E1A">
              <w:rPr>
                <w:rFonts w:eastAsia="Times New Roman"/>
                <w:color w:val="000000"/>
              </w:rPr>
              <w:t>Movimientos de partidas (o rubros) que no afectan al efectivo.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Depreciación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Amortización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Incrementos en las provisiones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inversiones producido por revaluación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Ganancia/pérdida en venta de propiedad, planta y equipo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cuentas por cobrar</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DF34A0"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Partidas extraordinarias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105EB7" w:rsidP="00105EB7">
            <w:pPr>
              <w:spacing w:after="0" w:line="240" w:lineRule="auto"/>
              <w:jc w:val="right"/>
              <w:rPr>
                <w:rFonts w:eastAsia="Times New Roman"/>
                <w:color w:val="000000"/>
                <w:lang w:val="en-US"/>
              </w:rPr>
            </w:pPr>
            <w:r w:rsidRPr="00B64794">
              <w:rPr>
                <w:rFonts w:eastAsia="Times New Roman"/>
                <w:color w:val="000000"/>
              </w:rPr>
              <w:t> </w:t>
            </w:r>
            <w:r>
              <w:rPr>
                <w:rFonts w:eastAsia="Times New Roman"/>
                <w:color w:val="000000"/>
              </w:rPr>
              <w:t>0.00</w:t>
            </w:r>
          </w:p>
        </w:tc>
      </w:tr>
    </w:tbl>
    <w:p w:rsidR="008E1B5E" w:rsidRDefault="008E1B5E" w:rsidP="0079414A">
      <w:pPr>
        <w:spacing w:after="0" w:line="240" w:lineRule="auto"/>
        <w:rPr>
          <w:rFonts w:cs="Arial-BoldMT"/>
          <w:b/>
          <w:bCs/>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FA0A47" w:rsidRDefault="00FA0A47" w:rsidP="00DF34A0">
      <w:pPr>
        <w:spacing w:after="0" w:line="240" w:lineRule="auto"/>
        <w:jc w:val="both"/>
        <w:rPr>
          <w:b/>
          <w:u w:val="single"/>
        </w:rPr>
      </w:pPr>
    </w:p>
    <w:tbl>
      <w:tblPr>
        <w:tblW w:w="8946" w:type="dxa"/>
        <w:tblInd w:w="93" w:type="dxa"/>
        <w:tblLayout w:type="fixed"/>
        <w:tblLook w:val="04A0"/>
      </w:tblPr>
      <w:tblGrid>
        <w:gridCol w:w="6535"/>
        <w:gridCol w:w="618"/>
        <w:gridCol w:w="1793"/>
      </w:tblGrid>
      <w:tr w:rsidR="003234B0" w:rsidRPr="006D69B3" w:rsidTr="006C14F2">
        <w:trPr>
          <w:trHeight w:val="485"/>
        </w:trPr>
        <w:tc>
          <w:tcPr>
            <w:tcW w:w="8946"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4C5400" w:rsidRPr="004C5400" w:rsidRDefault="003234B0" w:rsidP="006C14F2">
            <w:pPr>
              <w:spacing w:after="0" w:line="240" w:lineRule="auto"/>
              <w:jc w:val="center"/>
              <w:rPr>
                <w:b/>
                <w:u w:val="single"/>
              </w:rPr>
            </w:pPr>
            <w:r w:rsidRPr="0062249E">
              <w:rPr>
                <w:rFonts w:ascii="Arial" w:eastAsia="Times New Roman" w:hAnsi="Arial" w:cs="Arial"/>
                <w:b/>
                <w:bCs/>
                <w:color w:val="000000"/>
                <w:sz w:val="20"/>
                <w:szCs w:val="20"/>
              </w:rPr>
              <w:t>Conciliación entre los Ingresos Presup</w:t>
            </w:r>
            <w:r w:rsidR="00574CBC">
              <w:rPr>
                <w:rFonts w:ascii="Arial" w:eastAsia="Times New Roman" w:hAnsi="Arial" w:cs="Arial"/>
                <w:b/>
                <w:bCs/>
                <w:color w:val="000000"/>
                <w:sz w:val="20"/>
                <w:szCs w:val="20"/>
              </w:rPr>
              <w:t>uestari</w:t>
            </w:r>
            <w:r w:rsidR="004361EE">
              <w:rPr>
                <w:rFonts w:ascii="Arial" w:eastAsia="Times New Roman" w:hAnsi="Arial" w:cs="Arial"/>
                <w:b/>
                <w:bCs/>
                <w:color w:val="000000"/>
                <w:sz w:val="20"/>
                <w:szCs w:val="20"/>
              </w:rPr>
              <w:t>os y Contables</w:t>
            </w:r>
            <w:r w:rsidR="004361EE">
              <w:rPr>
                <w:rFonts w:ascii="Arial" w:eastAsia="Times New Roman" w:hAnsi="Arial" w:cs="Arial"/>
                <w:b/>
                <w:bCs/>
                <w:color w:val="000000"/>
                <w:sz w:val="20"/>
                <w:szCs w:val="20"/>
              </w:rPr>
              <w:br/>
            </w:r>
            <w:r w:rsidR="004C5400" w:rsidRPr="0030132B">
              <w:rPr>
                <w:rFonts w:ascii="Arial" w:eastAsia="Times New Roman" w:hAnsi="Arial" w:cs="Arial"/>
                <w:b/>
                <w:bCs/>
                <w:color w:val="000000"/>
                <w:sz w:val="20"/>
                <w:szCs w:val="20"/>
              </w:rPr>
              <w:t xml:space="preserve">Del </w:t>
            </w:r>
            <w:r w:rsidR="00BA6602">
              <w:rPr>
                <w:rFonts w:ascii="Arial" w:eastAsia="Times New Roman" w:hAnsi="Arial" w:cs="Arial"/>
                <w:b/>
                <w:bCs/>
                <w:color w:val="000000"/>
                <w:sz w:val="20"/>
                <w:szCs w:val="20"/>
              </w:rPr>
              <w:t xml:space="preserve">01 de </w:t>
            </w:r>
            <w:r w:rsidR="006C14F2">
              <w:rPr>
                <w:rFonts w:ascii="Arial" w:eastAsia="Times New Roman" w:hAnsi="Arial" w:cs="Arial"/>
                <w:b/>
                <w:bCs/>
                <w:color w:val="000000"/>
                <w:sz w:val="20"/>
                <w:szCs w:val="20"/>
              </w:rPr>
              <w:t xml:space="preserve">Abril </w:t>
            </w:r>
            <w:r w:rsidR="004C5400" w:rsidRPr="0062249E">
              <w:rPr>
                <w:rFonts w:ascii="Arial" w:eastAsia="Times New Roman" w:hAnsi="Arial" w:cs="Arial"/>
                <w:b/>
                <w:bCs/>
                <w:color w:val="000000"/>
                <w:sz w:val="20"/>
                <w:szCs w:val="20"/>
              </w:rPr>
              <w:t>al 3</w:t>
            </w:r>
            <w:r w:rsidR="006C14F2">
              <w:rPr>
                <w:rFonts w:ascii="Arial" w:eastAsia="Times New Roman" w:hAnsi="Arial" w:cs="Arial"/>
                <w:b/>
                <w:bCs/>
                <w:color w:val="000000"/>
                <w:sz w:val="20"/>
                <w:szCs w:val="20"/>
              </w:rPr>
              <w:t>0</w:t>
            </w:r>
            <w:r w:rsidR="004C5400" w:rsidRPr="0062249E">
              <w:rPr>
                <w:rFonts w:ascii="Arial" w:eastAsia="Times New Roman" w:hAnsi="Arial" w:cs="Arial"/>
                <w:b/>
                <w:bCs/>
                <w:color w:val="000000"/>
                <w:sz w:val="20"/>
                <w:szCs w:val="20"/>
              </w:rPr>
              <w:t xml:space="preserve"> de </w:t>
            </w:r>
            <w:r w:rsidR="006C14F2">
              <w:rPr>
                <w:rFonts w:ascii="Arial" w:eastAsia="Times New Roman" w:hAnsi="Arial" w:cs="Arial"/>
                <w:b/>
                <w:bCs/>
                <w:color w:val="000000"/>
                <w:sz w:val="20"/>
                <w:szCs w:val="20"/>
              </w:rPr>
              <w:t>Junio</w:t>
            </w:r>
            <w:r w:rsidR="004C5400">
              <w:rPr>
                <w:rFonts w:ascii="Arial" w:eastAsia="Times New Roman" w:hAnsi="Arial" w:cs="Arial"/>
                <w:b/>
                <w:bCs/>
                <w:color w:val="000000"/>
                <w:sz w:val="20"/>
                <w:szCs w:val="20"/>
              </w:rPr>
              <w:t xml:space="preserve"> de 201</w:t>
            </w:r>
            <w:r w:rsidR="00BA6602">
              <w:rPr>
                <w:rFonts w:ascii="Arial" w:eastAsia="Times New Roman" w:hAnsi="Arial" w:cs="Arial"/>
                <w:b/>
                <w:bCs/>
                <w:color w:val="000000"/>
                <w:sz w:val="20"/>
                <w:szCs w:val="20"/>
              </w:rPr>
              <w:t>7</w:t>
            </w:r>
          </w:p>
        </w:tc>
      </w:tr>
      <w:tr w:rsidR="003234B0" w:rsidRPr="006D69B3" w:rsidTr="006C14F2">
        <w:trPr>
          <w:trHeight w:val="201"/>
        </w:trPr>
        <w:tc>
          <w:tcPr>
            <w:tcW w:w="6535"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618"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1793"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r>
      <w:tr w:rsidR="003234B0" w:rsidRPr="006D69B3" w:rsidTr="006C14F2">
        <w:trPr>
          <w:trHeight w:val="201"/>
        </w:trPr>
        <w:tc>
          <w:tcPr>
            <w:tcW w:w="6535"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1. Ingresos Presupuestarios</w:t>
            </w:r>
          </w:p>
        </w:tc>
        <w:tc>
          <w:tcPr>
            <w:tcW w:w="618"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793"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571BA" w:rsidP="006C14F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6C14F2" w:rsidRPr="006C14F2">
              <w:rPr>
                <w:rFonts w:ascii="Arial" w:eastAsia="Times New Roman" w:hAnsi="Arial" w:cs="Arial"/>
                <w:b/>
                <w:bCs/>
                <w:color w:val="000000"/>
                <w:sz w:val="18"/>
                <w:szCs w:val="18"/>
                <w:lang w:val="en-US"/>
              </w:rPr>
              <w:t>9</w:t>
            </w:r>
            <w:r w:rsidR="006C14F2">
              <w:rPr>
                <w:rFonts w:ascii="Arial" w:eastAsia="Times New Roman" w:hAnsi="Arial" w:cs="Arial"/>
                <w:b/>
                <w:bCs/>
                <w:color w:val="000000"/>
                <w:sz w:val="18"/>
                <w:szCs w:val="18"/>
                <w:lang w:val="en-US"/>
              </w:rPr>
              <w:t>,</w:t>
            </w:r>
            <w:r w:rsidR="006C14F2" w:rsidRPr="006C14F2">
              <w:rPr>
                <w:rFonts w:ascii="Arial" w:eastAsia="Times New Roman" w:hAnsi="Arial" w:cs="Arial"/>
                <w:b/>
                <w:bCs/>
                <w:color w:val="000000"/>
                <w:sz w:val="18"/>
                <w:szCs w:val="18"/>
                <w:lang w:val="en-US"/>
              </w:rPr>
              <w:t>626</w:t>
            </w:r>
            <w:r w:rsidR="006C14F2">
              <w:rPr>
                <w:rFonts w:ascii="Arial" w:eastAsia="Times New Roman" w:hAnsi="Arial" w:cs="Arial"/>
                <w:b/>
                <w:bCs/>
                <w:color w:val="000000"/>
                <w:sz w:val="18"/>
                <w:szCs w:val="18"/>
                <w:lang w:val="en-US"/>
              </w:rPr>
              <w:t>,</w:t>
            </w:r>
            <w:r w:rsidR="006C14F2" w:rsidRPr="006C14F2">
              <w:rPr>
                <w:rFonts w:ascii="Arial" w:eastAsia="Times New Roman" w:hAnsi="Arial" w:cs="Arial"/>
                <w:b/>
                <w:bCs/>
                <w:color w:val="000000"/>
                <w:sz w:val="18"/>
                <w:szCs w:val="18"/>
                <w:lang w:val="en-US"/>
              </w:rPr>
              <w:t>908.97</w:t>
            </w:r>
          </w:p>
        </w:tc>
      </w:tr>
      <w:tr w:rsidR="003234B0" w:rsidRPr="006D69B3" w:rsidTr="006C14F2">
        <w:trPr>
          <w:trHeight w:val="213"/>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79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378"/>
        </w:trPr>
        <w:tc>
          <w:tcPr>
            <w:tcW w:w="6535" w:type="dxa"/>
            <w:tcBorders>
              <w:top w:val="nil"/>
              <w:left w:val="single" w:sz="4" w:space="0" w:color="auto"/>
              <w:bottom w:val="single" w:sz="4" w:space="0" w:color="auto"/>
              <w:right w:val="single" w:sz="4" w:space="0" w:color="auto"/>
            </w:tcBorders>
            <w:shd w:val="clear" w:color="auto" w:fill="auto"/>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79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Productos de Capital</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Aprovechamientos Capital</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Ingresos Derivados de Financiamientos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6C14F2">
        <w:trPr>
          <w:trHeight w:val="284"/>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lastRenderedPageBreak/>
              <w:t> </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79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3234B0" w:rsidTr="006C14F2">
        <w:trPr>
          <w:trHeight w:val="249"/>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4. Ingresos Contables</w:t>
            </w:r>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793" w:type="dxa"/>
            <w:tcBorders>
              <w:top w:val="nil"/>
              <w:left w:val="nil"/>
              <w:bottom w:val="single" w:sz="4" w:space="0" w:color="auto"/>
              <w:right w:val="single" w:sz="4" w:space="0" w:color="auto"/>
            </w:tcBorders>
            <w:shd w:val="clear" w:color="000000" w:fill="BFBFBF"/>
            <w:noWrap/>
            <w:hideMark/>
          </w:tcPr>
          <w:p w:rsidR="003234B0" w:rsidRPr="0062249E" w:rsidRDefault="006C14F2" w:rsidP="006C14F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Pr="006C14F2">
              <w:rPr>
                <w:rFonts w:ascii="Arial" w:eastAsia="Times New Roman" w:hAnsi="Arial" w:cs="Arial"/>
                <w:b/>
                <w:bCs/>
                <w:color w:val="000000"/>
                <w:sz w:val="18"/>
                <w:szCs w:val="18"/>
                <w:lang w:val="en-US"/>
              </w:rPr>
              <w:t>9</w:t>
            </w:r>
            <w:r>
              <w:rPr>
                <w:rFonts w:ascii="Arial" w:eastAsia="Times New Roman" w:hAnsi="Arial" w:cs="Arial"/>
                <w:b/>
                <w:bCs/>
                <w:color w:val="000000"/>
                <w:sz w:val="18"/>
                <w:szCs w:val="18"/>
                <w:lang w:val="en-US"/>
              </w:rPr>
              <w:t>,</w:t>
            </w:r>
            <w:r w:rsidRPr="006C14F2">
              <w:rPr>
                <w:rFonts w:ascii="Arial" w:eastAsia="Times New Roman" w:hAnsi="Arial" w:cs="Arial"/>
                <w:b/>
                <w:bCs/>
                <w:color w:val="000000"/>
                <w:sz w:val="18"/>
                <w:szCs w:val="18"/>
                <w:lang w:val="en-US"/>
              </w:rPr>
              <w:t>626</w:t>
            </w:r>
            <w:r>
              <w:rPr>
                <w:rFonts w:ascii="Arial" w:eastAsia="Times New Roman" w:hAnsi="Arial" w:cs="Arial"/>
                <w:b/>
                <w:bCs/>
                <w:color w:val="000000"/>
                <w:sz w:val="18"/>
                <w:szCs w:val="18"/>
                <w:lang w:val="en-US"/>
              </w:rPr>
              <w:t>,</w:t>
            </w:r>
            <w:r w:rsidRPr="006C14F2">
              <w:rPr>
                <w:rFonts w:ascii="Arial" w:eastAsia="Times New Roman" w:hAnsi="Arial" w:cs="Arial"/>
                <w:b/>
                <w:bCs/>
                <w:color w:val="000000"/>
                <w:sz w:val="18"/>
                <w:szCs w:val="18"/>
                <w:lang w:val="en-US"/>
              </w:rPr>
              <w:t>908.97</w:t>
            </w:r>
          </w:p>
        </w:tc>
      </w:tr>
    </w:tbl>
    <w:p w:rsidR="00EB43A1" w:rsidRDefault="00EB43A1" w:rsidP="00900026">
      <w:pPr>
        <w:spacing w:after="0" w:line="240" w:lineRule="auto"/>
        <w:rPr>
          <w:b/>
          <w:u w:val="single"/>
        </w:rPr>
      </w:pPr>
    </w:p>
    <w:tbl>
      <w:tblPr>
        <w:tblW w:w="9014" w:type="dxa"/>
        <w:tblInd w:w="60" w:type="dxa"/>
        <w:tblCellMar>
          <w:left w:w="70" w:type="dxa"/>
          <w:right w:w="70" w:type="dxa"/>
        </w:tblCellMar>
        <w:tblLook w:val="04A0"/>
      </w:tblPr>
      <w:tblGrid>
        <w:gridCol w:w="5687"/>
        <w:gridCol w:w="1567"/>
        <w:gridCol w:w="1760"/>
      </w:tblGrid>
      <w:tr w:rsidR="00D73D5C" w:rsidRPr="00D73D5C" w:rsidTr="00D73D5C">
        <w:trPr>
          <w:trHeight w:val="195"/>
        </w:trPr>
        <w:tc>
          <w:tcPr>
            <w:tcW w:w="9014" w:type="dxa"/>
            <w:gridSpan w:val="3"/>
            <w:tcBorders>
              <w:top w:val="single" w:sz="8" w:space="0" w:color="auto"/>
              <w:left w:val="single" w:sz="8" w:space="0" w:color="auto"/>
              <w:bottom w:val="nil"/>
              <w:right w:val="single" w:sz="8" w:space="0" w:color="000000"/>
            </w:tcBorders>
            <w:shd w:val="clear" w:color="000000" w:fill="BFBFBF"/>
            <w:hideMark/>
          </w:tcPr>
          <w:p w:rsidR="00D73D5C" w:rsidRPr="00D73D5C" w:rsidRDefault="00D73D5C" w:rsidP="00D73D5C">
            <w:pPr>
              <w:spacing w:after="0" w:line="240" w:lineRule="auto"/>
              <w:jc w:val="center"/>
              <w:rPr>
                <w:rFonts w:ascii="Arial" w:eastAsia="Times New Roman" w:hAnsi="Arial" w:cs="Arial"/>
                <w:b/>
                <w:bCs/>
                <w:color w:val="000000"/>
                <w:sz w:val="20"/>
                <w:szCs w:val="20"/>
                <w:lang w:eastAsia="es-MX"/>
              </w:rPr>
            </w:pPr>
            <w:r w:rsidRPr="00D73D5C">
              <w:rPr>
                <w:rFonts w:ascii="Arial" w:eastAsia="Times New Roman" w:hAnsi="Arial" w:cs="Arial"/>
                <w:b/>
                <w:bCs/>
                <w:color w:val="000000"/>
                <w:sz w:val="20"/>
                <w:szCs w:val="20"/>
                <w:lang w:eastAsia="es-MX"/>
              </w:rPr>
              <w:t>Conciliación entre los Egresos Presupuestarios y Contables</w:t>
            </w:r>
          </w:p>
        </w:tc>
      </w:tr>
      <w:tr w:rsidR="00D73D5C" w:rsidRPr="00D73D5C" w:rsidTr="00D73D5C">
        <w:trPr>
          <w:trHeight w:val="206"/>
        </w:trPr>
        <w:tc>
          <w:tcPr>
            <w:tcW w:w="9014" w:type="dxa"/>
            <w:gridSpan w:val="3"/>
            <w:tcBorders>
              <w:top w:val="nil"/>
              <w:left w:val="single" w:sz="8" w:space="0" w:color="auto"/>
              <w:bottom w:val="single" w:sz="8" w:space="0" w:color="auto"/>
              <w:right w:val="single" w:sz="8" w:space="0" w:color="000000"/>
            </w:tcBorders>
            <w:shd w:val="clear" w:color="000000" w:fill="BFBFBF"/>
            <w:hideMark/>
          </w:tcPr>
          <w:p w:rsidR="00D73D5C" w:rsidRPr="00D73D5C" w:rsidRDefault="00D73D5C" w:rsidP="00D73D5C">
            <w:pPr>
              <w:spacing w:after="0" w:line="240" w:lineRule="auto"/>
              <w:jc w:val="center"/>
              <w:rPr>
                <w:rFonts w:ascii="Arial" w:eastAsia="Times New Roman" w:hAnsi="Arial" w:cs="Arial"/>
                <w:b/>
                <w:bCs/>
                <w:color w:val="000000"/>
                <w:sz w:val="20"/>
                <w:szCs w:val="20"/>
                <w:lang w:eastAsia="es-MX"/>
              </w:rPr>
            </w:pPr>
            <w:r w:rsidRPr="00D73D5C">
              <w:rPr>
                <w:rFonts w:ascii="Arial" w:eastAsia="Times New Roman" w:hAnsi="Arial" w:cs="Arial"/>
                <w:b/>
                <w:bCs/>
                <w:color w:val="000000"/>
                <w:sz w:val="20"/>
                <w:szCs w:val="20"/>
                <w:lang w:eastAsia="es-MX"/>
              </w:rPr>
              <w:t>Del 01 de Abril al 30 de Junio de 2017</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b/>
                <w:bCs/>
                <w:color w:val="000000"/>
                <w:sz w:val="20"/>
                <w:szCs w:val="20"/>
                <w:lang w:eastAsia="es-MX"/>
              </w:rPr>
            </w:pPr>
            <w:r w:rsidRPr="00D73D5C">
              <w:rPr>
                <w:rFonts w:ascii="Arial" w:eastAsia="Times New Roman" w:hAnsi="Arial" w:cs="Arial"/>
                <w:b/>
                <w:bCs/>
                <w:color w:val="000000"/>
                <w:sz w:val="20"/>
                <w:szCs w:val="20"/>
                <w:lang w:eastAsia="es-MX"/>
              </w:rPr>
              <w:t> </w:t>
            </w:r>
          </w:p>
        </w:tc>
        <w:tc>
          <w:tcPr>
            <w:tcW w:w="1567"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000000" w:fill="BFBFBF"/>
            <w:hideMark/>
          </w:tcPr>
          <w:p w:rsidR="00D73D5C" w:rsidRPr="00D73D5C" w:rsidRDefault="00D73D5C" w:rsidP="00D73D5C">
            <w:pPr>
              <w:spacing w:after="0" w:line="240" w:lineRule="auto"/>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1. Total de Egresos (Presupuestarios)</w:t>
            </w:r>
          </w:p>
        </w:tc>
        <w:tc>
          <w:tcPr>
            <w:tcW w:w="1567" w:type="dxa"/>
            <w:tcBorders>
              <w:top w:val="nil"/>
              <w:left w:val="nil"/>
              <w:bottom w:val="single" w:sz="8" w:space="0" w:color="auto"/>
              <w:right w:val="single" w:sz="8" w:space="0" w:color="auto"/>
            </w:tcBorders>
            <w:shd w:val="clear" w:color="000000" w:fill="BFBFBF"/>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hideMark/>
          </w:tcPr>
          <w:p w:rsidR="00D73D5C" w:rsidRPr="00D73D5C" w:rsidRDefault="00D73D5C" w:rsidP="00D73D5C">
            <w:pPr>
              <w:spacing w:after="0" w:line="240" w:lineRule="auto"/>
              <w:jc w:val="right"/>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val="en-US" w:eastAsia="es-MX"/>
              </w:rPr>
              <w:t>7,465,383.47</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567"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000000" w:fill="BFBFBF"/>
            <w:hideMark/>
          </w:tcPr>
          <w:p w:rsidR="00D73D5C" w:rsidRPr="00D73D5C" w:rsidRDefault="00D73D5C" w:rsidP="00D73D5C">
            <w:pPr>
              <w:spacing w:after="0" w:line="240" w:lineRule="auto"/>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2. Menos Egresos Presupuestarios no Contables</w:t>
            </w:r>
          </w:p>
        </w:tc>
        <w:tc>
          <w:tcPr>
            <w:tcW w:w="1567" w:type="dxa"/>
            <w:tcBorders>
              <w:top w:val="nil"/>
              <w:left w:val="nil"/>
              <w:bottom w:val="single" w:sz="8" w:space="0" w:color="auto"/>
              <w:right w:val="single" w:sz="8" w:space="0" w:color="auto"/>
            </w:tcBorders>
            <w:shd w:val="clear" w:color="000000" w:fill="BFBFBF"/>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hideMark/>
          </w:tcPr>
          <w:p w:rsidR="00D73D5C" w:rsidRPr="00D73D5C" w:rsidRDefault="00D73D5C" w:rsidP="00D73D5C">
            <w:pPr>
              <w:spacing w:after="0" w:line="240" w:lineRule="auto"/>
              <w:jc w:val="right"/>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2,650,898.58</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Mobiliario y Equipo de Administración</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21,500.00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Mobiliario y Equipo Educacional y Recreativo</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Equipo e Instrumental Médico y de Laboratorio</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Vehículos y Equipos de Transporte</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Equipo de defensa y Seguridad</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Maquinaria, otros equipos y herramienta</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Activos Biológicos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Bienes Inmuebles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Activos Intangibles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Obra Pública en Bienes Propios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2,346,882.98</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Obra Pública en Bienes De Dominio Público</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282,515.60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Acciones y Participaciones de Capital</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Compra de Títulos y Valores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Inversión en Fideicomisos, Mandatos y otros Análogos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379"/>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Provisiones para Contingencias y otras Erogaciones Especiales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Amortización de la Deuda Pública</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Adeudos de Ejercicios Fiscales Anteriores (ADEFAS)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Otros Egresos Presupuestales no Contables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000000" w:fill="BFBFBF"/>
            <w:hideMark/>
          </w:tcPr>
          <w:p w:rsidR="00D73D5C" w:rsidRPr="00D73D5C" w:rsidRDefault="00D73D5C" w:rsidP="00D73D5C">
            <w:pPr>
              <w:spacing w:after="0" w:line="240" w:lineRule="auto"/>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3. Más Gastos Contables no Presupuestales</w:t>
            </w:r>
          </w:p>
        </w:tc>
        <w:tc>
          <w:tcPr>
            <w:tcW w:w="1567" w:type="dxa"/>
            <w:tcBorders>
              <w:top w:val="nil"/>
              <w:left w:val="nil"/>
              <w:bottom w:val="single" w:sz="8" w:space="0" w:color="auto"/>
              <w:right w:val="single" w:sz="8" w:space="0" w:color="auto"/>
            </w:tcBorders>
            <w:shd w:val="clear" w:color="000000" w:fill="BFBFBF"/>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hideMark/>
          </w:tcPr>
          <w:p w:rsidR="00D73D5C" w:rsidRPr="00D73D5C" w:rsidRDefault="00D73D5C" w:rsidP="00D73D5C">
            <w:pPr>
              <w:spacing w:after="0" w:line="240" w:lineRule="auto"/>
              <w:jc w:val="right"/>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50,767.75</w:t>
            </w:r>
          </w:p>
        </w:tc>
      </w:tr>
      <w:tr w:rsidR="00D73D5C" w:rsidRPr="00D73D5C" w:rsidTr="00D73D5C">
        <w:trPr>
          <w:trHeight w:val="379"/>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Estimaciones, Depreciaciones, Deterioros, Obsolescencia y Amortizaciones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50,767.75</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Provisiones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Disminución de Inventarios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379"/>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Aumento por Insuficiencia de Estimaciones por Pérdida o deterioro u Obsolescencia</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Aumento por insuficiencia de Provisiones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Otros Gastos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auto" w:fill="auto"/>
            <w:hideMark/>
          </w:tcPr>
          <w:p w:rsidR="00D73D5C" w:rsidRPr="00D73D5C" w:rsidRDefault="00D73D5C" w:rsidP="00D73D5C">
            <w:pPr>
              <w:spacing w:after="0" w:line="240" w:lineRule="auto"/>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Otros Gastos Contables no Presupuestales</w:t>
            </w:r>
          </w:p>
        </w:tc>
        <w:tc>
          <w:tcPr>
            <w:tcW w:w="1567" w:type="dxa"/>
            <w:tcBorders>
              <w:top w:val="nil"/>
              <w:left w:val="nil"/>
              <w:bottom w:val="single" w:sz="8" w:space="0" w:color="auto"/>
              <w:right w:val="single" w:sz="8" w:space="0" w:color="auto"/>
            </w:tcBorders>
            <w:shd w:val="clear" w:color="auto" w:fill="auto"/>
            <w:hideMark/>
          </w:tcPr>
          <w:p w:rsidR="00D73D5C" w:rsidRPr="00D73D5C" w:rsidRDefault="00D73D5C" w:rsidP="00D73D5C">
            <w:pPr>
              <w:spacing w:after="0" w:line="240" w:lineRule="auto"/>
              <w:jc w:val="right"/>
              <w:rPr>
                <w:rFonts w:ascii="Arial" w:eastAsia="Times New Roman" w:hAnsi="Arial" w:cs="Arial"/>
                <w:color w:val="000000"/>
                <w:sz w:val="18"/>
                <w:szCs w:val="18"/>
                <w:lang w:eastAsia="es-MX"/>
              </w:rPr>
            </w:pPr>
            <w:r w:rsidRPr="00D73D5C">
              <w:rPr>
                <w:rFonts w:ascii="Arial" w:eastAsia="Times New Roman" w:hAnsi="Arial" w:cs="Arial"/>
                <w:color w:val="000000"/>
                <w:sz w:val="18"/>
                <w:szCs w:val="18"/>
                <w:lang w:eastAsia="es-MX"/>
              </w:rPr>
              <w:t>0.00</w:t>
            </w:r>
          </w:p>
        </w:tc>
        <w:tc>
          <w:tcPr>
            <w:tcW w:w="1760" w:type="dxa"/>
            <w:tcBorders>
              <w:top w:val="nil"/>
              <w:left w:val="nil"/>
              <w:bottom w:val="single" w:sz="8" w:space="0" w:color="auto"/>
              <w:right w:val="single" w:sz="8" w:space="0" w:color="auto"/>
            </w:tcBorders>
            <w:shd w:val="clear" w:color="auto" w:fill="auto"/>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r>
      <w:tr w:rsidR="00D73D5C" w:rsidRPr="00D73D5C" w:rsidTr="00D73D5C">
        <w:trPr>
          <w:trHeight w:val="206"/>
        </w:trPr>
        <w:tc>
          <w:tcPr>
            <w:tcW w:w="5687" w:type="dxa"/>
            <w:tcBorders>
              <w:top w:val="nil"/>
              <w:left w:val="single" w:sz="8" w:space="0" w:color="auto"/>
              <w:bottom w:val="single" w:sz="8" w:space="0" w:color="auto"/>
              <w:right w:val="single" w:sz="8" w:space="0" w:color="auto"/>
            </w:tcBorders>
            <w:shd w:val="clear" w:color="000000" w:fill="BFBFBF"/>
            <w:hideMark/>
          </w:tcPr>
          <w:p w:rsidR="00D73D5C" w:rsidRPr="00D73D5C" w:rsidRDefault="00D73D5C" w:rsidP="00D73D5C">
            <w:pPr>
              <w:spacing w:after="0" w:line="240" w:lineRule="auto"/>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4. Total de Gastos Contable</w:t>
            </w:r>
          </w:p>
        </w:tc>
        <w:tc>
          <w:tcPr>
            <w:tcW w:w="1567" w:type="dxa"/>
            <w:tcBorders>
              <w:top w:val="nil"/>
              <w:left w:val="nil"/>
              <w:bottom w:val="single" w:sz="8" w:space="0" w:color="auto"/>
              <w:right w:val="single" w:sz="8" w:space="0" w:color="auto"/>
            </w:tcBorders>
            <w:shd w:val="clear" w:color="000000" w:fill="BFBFBF"/>
            <w:noWrap/>
            <w:hideMark/>
          </w:tcPr>
          <w:p w:rsidR="00D73D5C" w:rsidRPr="00D73D5C" w:rsidRDefault="00D73D5C" w:rsidP="00D73D5C">
            <w:pPr>
              <w:spacing w:after="0" w:line="240" w:lineRule="auto"/>
              <w:rPr>
                <w:rFonts w:ascii="Arial" w:eastAsia="Times New Roman" w:hAnsi="Arial" w:cs="Arial"/>
                <w:color w:val="000000"/>
                <w:sz w:val="20"/>
                <w:szCs w:val="20"/>
                <w:lang w:eastAsia="es-MX"/>
              </w:rPr>
            </w:pPr>
            <w:r w:rsidRPr="00D73D5C">
              <w:rPr>
                <w:rFonts w:ascii="Arial" w:eastAsia="Times New Roman" w:hAnsi="Arial" w:cs="Arial"/>
                <w:color w:val="000000"/>
                <w:sz w:val="20"/>
                <w:szCs w:val="20"/>
                <w:lang w:eastAsia="es-MX"/>
              </w:rPr>
              <w:t> </w:t>
            </w:r>
          </w:p>
        </w:tc>
        <w:tc>
          <w:tcPr>
            <w:tcW w:w="1760" w:type="dxa"/>
            <w:tcBorders>
              <w:top w:val="nil"/>
              <w:left w:val="nil"/>
              <w:bottom w:val="single" w:sz="8" w:space="0" w:color="auto"/>
              <w:right w:val="single" w:sz="8" w:space="0" w:color="auto"/>
            </w:tcBorders>
            <w:shd w:val="clear" w:color="000000" w:fill="BFBFBF"/>
            <w:hideMark/>
          </w:tcPr>
          <w:p w:rsidR="00D73D5C" w:rsidRPr="00D73D5C" w:rsidRDefault="00D73D5C" w:rsidP="00D73D5C">
            <w:pPr>
              <w:spacing w:after="0" w:line="240" w:lineRule="auto"/>
              <w:jc w:val="right"/>
              <w:rPr>
                <w:rFonts w:ascii="Arial" w:eastAsia="Times New Roman" w:hAnsi="Arial" w:cs="Arial"/>
                <w:b/>
                <w:bCs/>
                <w:color w:val="000000"/>
                <w:sz w:val="18"/>
                <w:szCs w:val="18"/>
                <w:lang w:eastAsia="es-MX"/>
              </w:rPr>
            </w:pPr>
            <w:r w:rsidRPr="00D73D5C">
              <w:rPr>
                <w:rFonts w:ascii="Arial" w:eastAsia="Times New Roman" w:hAnsi="Arial" w:cs="Arial"/>
                <w:b/>
                <w:bCs/>
                <w:color w:val="000000"/>
                <w:sz w:val="18"/>
                <w:szCs w:val="18"/>
                <w:lang w:eastAsia="es-MX"/>
              </w:rPr>
              <w:t>4,865,252.64</w:t>
            </w:r>
          </w:p>
        </w:tc>
      </w:tr>
    </w:tbl>
    <w:p w:rsidR="00D73D5C" w:rsidRDefault="00D73D5C" w:rsidP="00230151">
      <w:pPr>
        <w:spacing w:after="0" w:line="240" w:lineRule="auto"/>
        <w:rPr>
          <w:b/>
          <w:color w:val="000000"/>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9419" w:type="dxa"/>
        <w:tblInd w:w="93" w:type="dxa"/>
        <w:tblLook w:val="04A0"/>
      </w:tblPr>
      <w:tblGrid>
        <w:gridCol w:w="1087"/>
        <w:gridCol w:w="8332"/>
      </w:tblGrid>
      <w:tr w:rsidR="00B80ED6" w:rsidRPr="00B80ED6" w:rsidTr="00D73D5C">
        <w:trPr>
          <w:trHeight w:val="240"/>
        </w:trPr>
        <w:tc>
          <w:tcPr>
            <w:tcW w:w="108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8332"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D73D5C">
        <w:trPr>
          <w:trHeight w:val="240"/>
        </w:trPr>
        <w:tc>
          <w:tcPr>
            <w:tcW w:w="1087"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8332"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D73D5C">
        <w:trPr>
          <w:trHeight w:val="240"/>
        </w:trPr>
        <w:tc>
          <w:tcPr>
            <w:tcW w:w="1087"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8332"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ESF-03</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1.1.4 Inventarios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1.1.5 Almacenes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D73D5C">
        <w:trPr>
          <w:trHeight w:val="718"/>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D73D5C">
        <w:trPr>
          <w:trHeight w:val="718"/>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D73D5C">
        <w:trPr>
          <w:trHeight w:val="957"/>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D73D5C">
        <w:trPr>
          <w:trHeight w:val="957"/>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D73D5C">
        <w:trPr>
          <w:trHeight w:val="249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D73D5C">
        <w:trPr>
          <w:trHeight w:val="718"/>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3.2.1 Resultados del Ejercicio (Ahorro/ Desahorro), 3.2.2 Resultados de Ejercicios Anteriores, 3.2.3 Revalúos, 3.2.4 Reservas, 3.2.5 Rectificaciones de Resultados de Ejercicios Anteriores</w:t>
            </w:r>
          </w:p>
        </w:tc>
      </w:tr>
      <w:tr w:rsidR="00B80ED6" w:rsidRPr="00B80ED6" w:rsidTr="00D73D5C">
        <w:trPr>
          <w:trHeight w:val="240"/>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D73D5C">
        <w:trPr>
          <w:trHeight w:val="479"/>
        </w:trPr>
        <w:tc>
          <w:tcPr>
            <w:tcW w:w="1087"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8332"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794FDE" w:rsidRPr="00784A74" w:rsidRDefault="00B748F2" w:rsidP="00B748F2">
      <w:pPr>
        <w:spacing w:after="0" w:line="240" w:lineRule="auto"/>
        <w:rPr>
          <w:b/>
          <w:u w:val="single"/>
        </w:rPr>
      </w:pPr>
      <w:r w:rsidRPr="00784A74">
        <w:rPr>
          <w:b/>
          <w:u w:val="single"/>
        </w:rPr>
        <w:lastRenderedPageBreak/>
        <w:t xml:space="preserve">b) </w:t>
      </w:r>
      <w:r w:rsidR="00794FDE" w:rsidRPr="00784A74">
        <w:rPr>
          <w:b/>
          <w:u w:val="single"/>
        </w:rPr>
        <w:t>NOTAS DE MEMORIA</w:t>
      </w:r>
    </w:p>
    <w:p w:rsidR="008E1B5E" w:rsidRDefault="008E1B5E" w:rsidP="005E596B">
      <w:pPr>
        <w:jc w:val="both"/>
        <w:rPr>
          <w:rFonts w:cs="Arial-BoldMT"/>
          <w:b/>
          <w:bCs/>
        </w:rPr>
      </w:pPr>
    </w:p>
    <w:p w:rsidR="008E1B5E" w:rsidRDefault="00900026" w:rsidP="008E1B5E">
      <w:pPr>
        <w:spacing w:after="0"/>
        <w:jc w:val="both"/>
        <w:rPr>
          <w:rFonts w:cs="Arial-BoldMT"/>
          <w:b/>
          <w:bCs/>
        </w:rPr>
      </w:pPr>
      <w:r w:rsidRPr="00900026">
        <w:rPr>
          <w:rFonts w:cs="Arial-BoldMT"/>
          <w:b/>
          <w:bCs/>
        </w:rPr>
        <w:t xml:space="preserve">CUENTAS DE ORDEN CONTABLE VALORES </w:t>
      </w:r>
    </w:p>
    <w:p w:rsidR="005D4DDF" w:rsidRPr="008E1B5E" w:rsidRDefault="005D4DDF" w:rsidP="008E1B5E">
      <w:pPr>
        <w:spacing w:after="0"/>
        <w:jc w:val="both"/>
        <w:rPr>
          <w:rFonts w:cs="Arial-BoldMT"/>
          <w:b/>
          <w:bCs/>
        </w:rPr>
      </w:pPr>
      <w:r w:rsidRPr="00136A7B">
        <w:rPr>
          <w:rFonts w:cs="Arial-BoldMT"/>
          <w:b/>
          <w:bCs/>
        </w:rPr>
        <w:t xml:space="preserve">CO-01.- </w:t>
      </w:r>
      <w:r w:rsidRPr="00136A7B">
        <w:rPr>
          <w:color w:val="00000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136A7B" w:rsidRDefault="005D4DDF" w:rsidP="008E1B5E">
      <w:pPr>
        <w:pStyle w:val="NormalWeb"/>
        <w:spacing w:after="0" w:afterAutospacing="0"/>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8.1 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8.2 Cuentas de egresos</w:t>
      </w:r>
    </w:p>
    <w:p w:rsidR="00E875D9" w:rsidRDefault="00E875D9" w:rsidP="00F47CE1">
      <w:pPr>
        <w:pStyle w:val="NormalWeb"/>
        <w:spacing w:before="0" w:beforeAutospacing="0" w:after="0" w:afterAutospacing="0"/>
        <w:rPr>
          <w:rFonts w:ascii="Calibri" w:hAnsi="Calibri"/>
          <w:color w:val="000000"/>
          <w:sz w:val="22"/>
          <w:szCs w:val="22"/>
          <w:lang w:val="es-MX"/>
        </w:rPr>
      </w:pPr>
    </w:p>
    <w:tbl>
      <w:tblPr>
        <w:tblW w:w="10020" w:type="dxa"/>
        <w:jc w:val="center"/>
        <w:tblInd w:w="51" w:type="dxa"/>
        <w:tblCellMar>
          <w:left w:w="70" w:type="dxa"/>
          <w:right w:w="70" w:type="dxa"/>
        </w:tblCellMar>
        <w:tblLook w:val="04A0"/>
      </w:tblPr>
      <w:tblGrid>
        <w:gridCol w:w="4220"/>
        <w:gridCol w:w="1440"/>
        <w:gridCol w:w="1460"/>
        <w:gridCol w:w="1460"/>
        <w:gridCol w:w="1532"/>
      </w:tblGrid>
      <w:tr w:rsidR="00C22772" w:rsidRPr="00C22772" w:rsidTr="00C22772">
        <w:trPr>
          <w:trHeight w:val="270"/>
          <w:jc w:val="center"/>
        </w:trPr>
        <w:tc>
          <w:tcPr>
            <w:tcW w:w="4220" w:type="dxa"/>
            <w:tcBorders>
              <w:top w:val="single" w:sz="8" w:space="0" w:color="auto"/>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eastAsia="Times New Roman" w:cs="Calibri"/>
                <w:b/>
                <w:bCs/>
                <w:color w:val="000000"/>
                <w:sz w:val="20"/>
                <w:szCs w:val="20"/>
                <w:lang w:eastAsia="es-MX"/>
              </w:rPr>
            </w:pPr>
            <w:r w:rsidRPr="00C22772">
              <w:rPr>
                <w:rFonts w:eastAsia="Times New Roman" w:cs="Calibri"/>
                <w:b/>
                <w:bCs/>
                <w:color w:val="000000"/>
                <w:sz w:val="20"/>
                <w:szCs w:val="20"/>
                <w:lang w:eastAsia="es-MX"/>
              </w:rPr>
              <w:t>CUENTA</w:t>
            </w:r>
          </w:p>
        </w:tc>
        <w:tc>
          <w:tcPr>
            <w:tcW w:w="1440" w:type="dxa"/>
            <w:tcBorders>
              <w:top w:val="single" w:sz="8" w:space="0" w:color="auto"/>
              <w:left w:val="nil"/>
              <w:bottom w:val="single" w:sz="8" w:space="0" w:color="auto"/>
              <w:right w:val="nil"/>
            </w:tcBorders>
            <w:shd w:val="clear" w:color="auto" w:fill="auto"/>
            <w:noWrap/>
            <w:hideMark/>
          </w:tcPr>
          <w:p w:rsidR="00C22772" w:rsidRPr="00C22772" w:rsidRDefault="00C22772" w:rsidP="00C22772">
            <w:pPr>
              <w:spacing w:after="0" w:line="240" w:lineRule="auto"/>
              <w:rPr>
                <w:rFonts w:eastAsia="Times New Roman" w:cs="Calibri"/>
                <w:b/>
                <w:bCs/>
                <w:color w:val="000000"/>
                <w:sz w:val="20"/>
                <w:szCs w:val="20"/>
                <w:lang w:eastAsia="es-MX"/>
              </w:rPr>
            </w:pPr>
            <w:r w:rsidRPr="00C22772">
              <w:rPr>
                <w:rFonts w:eastAsia="Times New Roman" w:cs="Calibri"/>
                <w:b/>
                <w:bCs/>
                <w:color w:val="000000"/>
                <w:sz w:val="20"/>
                <w:szCs w:val="20"/>
                <w:lang w:eastAsia="es-MX"/>
              </w:rPr>
              <w:t>SALDO INICIAL</w:t>
            </w:r>
          </w:p>
        </w:tc>
        <w:tc>
          <w:tcPr>
            <w:tcW w:w="1460" w:type="dxa"/>
            <w:tcBorders>
              <w:top w:val="single" w:sz="8" w:space="0" w:color="auto"/>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rPr>
                <w:rFonts w:eastAsia="Times New Roman" w:cs="Calibri"/>
                <w:b/>
                <w:bCs/>
                <w:color w:val="000000"/>
                <w:sz w:val="20"/>
                <w:szCs w:val="20"/>
                <w:lang w:eastAsia="es-MX"/>
              </w:rPr>
            </w:pPr>
            <w:r w:rsidRPr="00C22772">
              <w:rPr>
                <w:rFonts w:eastAsia="Times New Roman" w:cs="Calibri"/>
                <w:b/>
                <w:bCs/>
                <w:color w:val="000000"/>
                <w:sz w:val="20"/>
                <w:szCs w:val="20"/>
                <w:lang w:eastAsia="es-MX"/>
              </w:rPr>
              <w:t>CARGOS</w:t>
            </w:r>
          </w:p>
        </w:tc>
        <w:tc>
          <w:tcPr>
            <w:tcW w:w="1460" w:type="dxa"/>
            <w:tcBorders>
              <w:top w:val="single" w:sz="8" w:space="0" w:color="auto"/>
              <w:left w:val="nil"/>
              <w:bottom w:val="single" w:sz="8" w:space="0" w:color="auto"/>
              <w:right w:val="nil"/>
            </w:tcBorders>
            <w:shd w:val="clear" w:color="auto" w:fill="auto"/>
            <w:noWrap/>
            <w:hideMark/>
          </w:tcPr>
          <w:p w:rsidR="00C22772" w:rsidRPr="00C22772" w:rsidRDefault="00C22772" w:rsidP="00C22772">
            <w:pPr>
              <w:spacing w:after="0" w:line="240" w:lineRule="auto"/>
              <w:rPr>
                <w:rFonts w:eastAsia="Times New Roman" w:cs="Calibri"/>
                <w:b/>
                <w:bCs/>
                <w:color w:val="000000"/>
                <w:sz w:val="20"/>
                <w:szCs w:val="20"/>
                <w:lang w:eastAsia="es-MX"/>
              </w:rPr>
            </w:pPr>
            <w:r w:rsidRPr="00C22772">
              <w:rPr>
                <w:rFonts w:eastAsia="Times New Roman" w:cs="Calibri"/>
                <w:b/>
                <w:bCs/>
                <w:color w:val="000000"/>
                <w:sz w:val="20"/>
                <w:szCs w:val="20"/>
                <w:lang w:eastAsia="es-MX"/>
              </w:rPr>
              <w:t>ABONOS</w:t>
            </w:r>
          </w:p>
        </w:tc>
        <w:tc>
          <w:tcPr>
            <w:tcW w:w="1440" w:type="dxa"/>
            <w:tcBorders>
              <w:top w:val="single" w:sz="8" w:space="0" w:color="auto"/>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rPr>
                <w:rFonts w:eastAsia="Times New Roman" w:cs="Calibri"/>
                <w:b/>
                <w:bCs/>
                <w:color w:val="000000"/>
                <w:sz w:val="20"/>
                <w:szCs w:val="20"/>
                <w:lang w:eastAsia="es-MX"/>
              </w:rPr>
            </w:pPr>
            <w:r w:rsidRPr="00C22772">
              <w:rPr>
                <w:rFonts w:eastAsia="Times New Roman" w:cs="Calibri"/>
                <w:b/>
                <w:bCs/>
                <w:color w:val="000000"/>
                <w:sz w:val="20"/>
                <w:szCs w:val="20"/>
                <w:lang w:eastAsia="es-MX"/>
              </w:rPr>
              <w:t>SALDO FINAL</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noWrap/>
            <w:hideMark/>
          </w:tcPr>
          <w:p w:rsidR="00C22772" w:rsidRPr="00C22772" w:rsidRDefault="00C22772" w:rsidP="00C22772">
            <w:pPr>
              <w:spacing w:after="0" w:line="240" w:lineRule="auto"/>
              <w:rPr>
                <w:rFonts w:eastAsia="Times New Roman" w:cs="Calibri"/>
                <w:color w:val="000000"/>
                <w:lang w:eastAsia="es-MX"/>
              </w:rPr>
            </w:pPr>
            <w:r w:rsidRPr="00C22772">
              <w:rPr>
                <w:rFonts w:eastAsia="Times New Roman" w:cs="Calibri"/>
                <w:color w:val="000000"/>
                <w:lang w:eastAsia="es-MX"/>
              </w:rPr>
              <w:t>8.CUENTAS DE ORDEN PRESUPUESTARIAS</w:t>
            </w:r>
          </w:p>
        </w:tc>
        <w:tc>
          <w:tcPr>
            <w:tcW w:w="144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99,459,883.26</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54,736,309.82</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54,736,309.82</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100,679,729.26</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ascii="Arial" w:eastAsia="Times New Roman" w:hAnsi="Arial" w:cs="Arial"/>
                <w:b/>
                <w:bCs/>
                <w:color w:val="000000"/>
                <w:sz w:val="20"/>
                <w:szCs w:val="20"/>
                <w:lang w:eastAsia="es-MX"/>
              </w:rPr>
            </w:pPr>
            <w:r w:rsidRPr="00C22772">
              <w:rPr>
                <w:rFonts w:ascii="Arial" w:eastAsia="Times New Roman" w:hAnsi="Arial" w:cs="Arial"/>
                <w:b/>
                <w:bCs/>
                <w:color w:val="000000"/>
                <w:sz w:val="20"/>
                <w:szCs w:val="20"/>
                <w:lang w:eastAsia="es-MX"/>
              </w:rPr>
              <w:t>8.1 LEY DE INGRESOS</w:t>
            </w:r>
          </w:p>
        </w:tc>
        <w:tc>
          <w:tcPr>
            <w:tcW w:w="1440" w:type="dxa"/>
            <w:tcBorders>
              <w:top w:val="nil"/>
              <w:left w:val="nil"/>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32,413,598.42</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19,253,817.94</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19,253,817.94</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32,413,598.42</w:t>
            </w:r>
          </w:p>
        </w:tc>
      </w:tr>
      <w:tr w:rsidR="00C22772" w:rsidRPr="00C22772" w:rsidTr="00C22772">
        <w:trPr>
          <w:trHeight w:val="300"/>
          <w:jc w:val="center"/>
        </w:trPr>
        <w:tc>
          <w:tcPr>
            <w:tcW w:w="4220" w:type="dxa"/>
            <w:tcBorders>
              <w:top w:val="nil"/>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8.1.1 Ley de Ingresos Estimada</w:t>
            </w:r>
          </w:p>
        </w:tc>
        <w:tc>
          <w:tcPr>
            <w:tcW w:w="1440" w:type="dxa"/>
            <w:tcBorders>
              <w:top w:val="nil"/>
              <w:left w:val="nil"/>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8.1.2 Ley de Ingresos por Ejecutar</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21,967,182.87</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9,626,908.97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12,340,273.90</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8.1.3 Modificaciones a la Ley de Ingresos Estimada</w:t>
            </w:r>
          </w:p>
        </w:tc>
        <w:tc>
          <w:tcPr>
            <w:tcW w:w="1440" w:type="dxa"/>
            <w:tcBorders>
              <w:top w:val="nil"/>
              <w:left w:val="nil"/>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8.1.4 Ley de Ingresos Devengada</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9,626,908.97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9,626,908.97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8.1.5 Ley de Ingresos Recaudada</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10,446,415.55</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9,626,908.97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20,073,324.52</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b/>
                <w:bCs/>
                <w:color w:val="000000"/>
                <w:sz w:val="20"/>
                <w:szCs w:val="20"/>
                <w:lang w:eastAsia="es-MX"/>
              </w:rPr>
            </w:pPr>
            <w:r w:rsidRPr="00C22772">
              <w:rPr>
                <w:rFonts w:ascii="Arial" w:eastAsia="Times New Roman" w:hAnsi="Arial" w:cs="Arial"/>
                <w:b/>
                <w:bCs/>
                <w:color w:val="000000"/>
                <w:sz w:val="20"/>
                <w:szCs w:val="20"/>
                <w:lang w:eastAsia="es-MX"/>
              </w:rPr>
              <w:t>8.2 PRESUPUESTO DE EGRESOS</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67,046,284.84</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35,482,491.88</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35,482,491.88</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68,266,130.84</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8.2.1 Presupuesto de Egresos Aprobado</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32,413,598.42</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32,413,598.42</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8.2.2 Presupuesto de Egresos por Ejercer</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11,638,535.54</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4,231,015.00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8,855,326.47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7,014,224.07</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8.2.3 Modificaciones al Presupuesto de Egresos Aprobado</w:t>
            </w:r>
          </w:p>
        </w:tc>
        <w:tc>
          <w:tcPr>
            <w:tcW w:w="1440" w:type="dxa"/>
            <w:tcBorders>
              <w:top w:val="nil"/>
              <w:left w:val="nil"/>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1,109,544.00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3,621,092.00</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4,231,015.00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1,719,467.00</w:t>
            </w:r>
          </w:p>
        </w:tc>
      </w:tr>
      <w:tr w:rsidR="00C22772" w:rsidRPr="00C22772" w:rsidTr="00C22772">
        <w:trPr>
          <w:trHeight w:val="300"/>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8.2.4 Presupuesto de Egresos Comprometido</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6,800,669.67</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5,234,234.47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4,569,520.67</w:t>
            </w:r>
          </w:p>
        </w:tc>
      </w:tr>
      <w:tr w:rsidR="00C22772" w:rsidRPr="00C22772" w:rsidTr="00C22772">
        <w:trPr>
          <w:trHeight w:val="300"/>
          <w:jc w:val="center"/>
        </w:trPr>
        <w:tc>
          <w:tcPr>
            <w:tcW w:w="4220" w:type="dxa"/>
            <w:tcBorders>
              <w:top w:val="single" w:sz="8" w:space="0" w:color="auto"/>
              <w:left w:val="single" w:sz="8" w:space="0" w:color="auto"/>
              <w:bottom w:val="single" w:sz="8" w:space="0" w:color="auto"/>
              <w:right w:val="single" w:sz="8" w:space="0" w:color="auto"/>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8.2.5 Presupuesto de Egresos Devengado</w:t>
            </w:r>
          </w:p>
        </w:tc>
        <w:tc>
          <w:tcPr>
            <w:tcW w:w="1440" w:type="dxa"/>
            <w:tcBorders>
              <w:top w:val="nil"/>
              <w:left w:val="nil"/>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r>
      <w:tr w:rsidR="00C22772" w:rsidRPr="00C22772" w:rsidTr="00C22772">
        <w:trPr>
          <w:trHeight w:val="255"/>
          <w:jc w:val="center"/>
        </w:trPr>
        <w:tc>
          <w:tcPr>
            <w:tcW w:w="4220" w:type="dxa"/>
            <w:tcBorders>
              <w:top w:val="nil"/>
              <w:left w:val="single" w:sz="8" w:space="0" w:color="auto"/>
              <w:bottom w:val="nil"/>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8.2.6 Presupuesto de Egresos Ejercido</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r>
      <w:tr w:rsidR="00C22772" w:rsidRPr="00C22772" w:rsidTr="00C22772">
        <w:trPr>
          <w:trHeight w:val="315"/>
          <w:jc w:val="center"/>
        </w:trPr>
        <w:tc>
          <w:tcPr>
            <w:tcW w:w="4220" w:type="dxa"/>
            <w:tcBorders>
              <w:top w:val="single" w:sz="8" w:space="0" w:color="auto"/>
              <w:left w:val="single" w:sz="8" w:space="0" w:color="auto"/>
              <w:bottom w:val="single" w:sz="8" w:space="0" w:color="auto"/>
              <w:right w:val="nil"/>
            </w:tcBorders>
            <w:shd w:val="clear" w:color="auto" w:fill="auto"/>
            <w:hideMark/>
          </w:tcPr>
          <w:p w:rsidR="00C22772" w:rsidRPr="00C22772" w:rsidRDefault="00C22772" w:rsidP="00C22772">
            <w:pPr>
              <w:spacing w:after="0" w:line="240" w:lineRule="auto"/>
              <w:rPr>
                <w:rFonts w:ascii="Arial" w:eastAsia="Times New Roman" w:hAnsi="Arial" w:cs="Arial"/>
                <w:color w:val="000000"/>
                <w:sz w:val="20"/>
                <w:szCs w:val="20"/>
                <w:lang w:eastAsia="es-MX"/>
              </w:rPr>
            </w:pPr>
            <w:r w:rsidRPr="00C22772">
              <w:rPr>
                <w:rFonts w:ascii="Arial" w:eastAsia="Times New Roman" w:hAnsi="Arial" w:cs="Arial"/>
                <w:color w:val="000000"/>
                <w:sz w:val="20"/>
                <w:szCs w:val="20"/>
                <w:lang w:eastAsia="es-MX"/>
              </w:rPr>
              <w:t>8.2.7 Presupuesto de Egresos Pagado</w:t>
            </w:r>
          </w:p>
        </w:tc>
        <w:tc>
          <w:tcPr>
            <w:tcW w:w="1440" w:type="dxa"/>
            <w:tcBorders>
              <w:top w:val="nil"/>
              <w:left w:val="single" w:sz="8" w:space="0" w:color="auto"/>
              <w:bottom w:val="single" w:sz="8" w:space="0" w:color="auto"/>
              <w:right w:val="nil"/>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15,083,937.21</w:t>
            </w:r>
          </w:p>
        </w:tc>
        <w:tc>
          <w:tcPr>
            <w:tcW w:w="1460" w:type="dxa"/>
            <w:tcBorders>
              <w:top w:val="nil"/>
              <w:left w:val="single" w:sz="8" w:space="0" w:color="auto"/>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7,465,383.47</w:t>
            </w:r>
          </w:p>
        </w:tc>
        <w:tc>
          <w:tcPr>
            <w:tcW w:w="146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0.00</w:t>
            </w:r>
          </w:p>
        </w:tc>
        <w:tc>
          <w:tcPr>
            <w:tcW w:w="1440" w:type="dxa"/>
            <w:tcBorders>
              <w:top w:val="nil"/>
              <w:left w:val="nil"/>
              <w:bottom w:val="single" w:sz="8" w:space="0" w:color="auto"/>
              <w:right w:val="single" w:sz="8" w:space="0" w:color="auto"/>
            </w:tcBorders>
            <w:shd w:val="clear" w:color="auto" w:fill="auto"/>
            <w:noWrap/>
            <w:hideMark/>
          </w:tcPr>
          <w:p w:rsidR="00C22772" w:rsidRPr="00C22772" w:rsidRDefault="00C22772" w:rsidP="00C22772">
            <w:pPr>
              <w:spacing w:after="0" w:line="240" w:lineRule="auto"/>
              <w:jc w:val="right"/>
              <w:rPr>
                <w:rFonts w:eastAsia="Times New Roman" w:cs="Calibri"/>
                <w:color w:val="000000"/>
                <w:lang w:eastAsia="es-MX"/>
              </w:rPr>
            </w:pPr>
            <w:r w:rsidRPr="00C22772">
              <w:rPr>
                <w:rFonts w:eastAsia="Times New Roman" w:cs="Calibri"/>
                <w:color w:val="000000"/>
                <w:lang w:eastAsia="es-MX"/>
              </w:rPr>
              <w:t>22,549,320.68</w:t>
            </w:r>
          </w:p>
        </w:tc>
      </w:tr>
    </w:tbl>
    <w:p w:rsidR="00DB591A" w:rsidRDefault="00DB591A" w:rsidP="009C73E2">
      <w:pPr>
        <w:spacing w:after="0" w:line="240" w:lineRule="auto"/>
        <w:rPr>
          <w:b/>
          <w:u w:val="single"/>
        </w:rPr>
      </w:pPr>
    </w:p>
    <w:p w:rsidR="008F599B" w:rsidRPr="00784A74" w:rsidRDefault="009C73E2" w:rsidP="009C73E2">
      <w:pPr>
        <w:spacing w:after="0" w:line="240" w:lineRule="auto"/>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3A4B41">
        <w:rPr>
          <w:rFonts w:cs="Arial-BoldMT"/>
          <w:bCs/>
        </w:rPr>
        <w:t>Escobedo</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9F6B16" w:rsidRDefault="00340D71" w:rsidP="006A07F5">
      <w:pPr>
        <w:spacing w:after="0" w:line="240" w:lineRule="auto"/>
        <w:jc w:val="both"/>
        <w:rPr>
          <w:rFonts w:cs="Arial-BoldMT"/>
          <w:bCs/>
        </w:rPr>
      </w:pPr>
      <w:r w:rsidRPr="00784A74">
        <w:rPr>
          <w:rFonts w:cs="Arial-BoldMT"/>
          <w:bCs/>
        </w:rPr>
        <w:lastRenderedPageBreak/>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856EA2" w:rsidRPr="009F6B16" w:rsidRDefault="00013225" w:rsidP="006A07F5">
      <w:pPr>
        <w:spacing w:after="0" w:line="240" w:lineRule="auto"/>
        <w:jc w:val="both"/>
        <w:rPr>
          <w:rFonts w:cs="Arial-BoldMT"/>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3A4B41">
        <w:rPr>
          <w:rFonts w:cs="Arial-BoldMT"/>
          <w:bCs/>
        </w:rPr>
        <w:t>Escobedo</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6C2DE1" w:rsidP="006A07F5">
      <w:pPr>
        <w:spacing w:after="0" w:line="240" w:lineRule="auto"/>
        <w:jc w:val="both"/>
        <w:rPr>
          <w:rFonts w:cs="Arial-BoldMT"/>
          <w:b/>
          <w:bCs/>
        </w:rPr>
      </w:pPr>
    </w:p>
    <w:p w:rsidR="006C2DE1" w:rsidRDefault="006C2DE1" w:rsidP="006A07F5">
      <w:pPr>
        <w:spacing w:after="0" w:line="240" w:lineRule="auto"/>
        <w:jc w:val="both"/>
        <w:rPr>
          <w:lang w:val="es-ES"/>
        </w:rPr>
      </w:pPr>
      <w:r>
        <w:rPr>
          <w:lang w:val="es-ES"/>
        </w:rPr>
        <w:t xml:space="preserve">Se constituyó como municipio en </w:t>
      </w:r>
      <w:hyperlink r:id="rId8" w:tooltip="1905" w:history="1">
        <w:r>
          <w:rPr>
            <w:rStyle w:val="Hipervnculo"/>
            <w:lang w:val="es-ES"/>
          </w:rPr>
          <w:t>1905</w:t>
        </w:r>
      </w:hyperlink>
      <w:r>
        <w:rPr>
          <w:lang w:val="es-ES"/>
        </w:rPr>
        <w:t xml:space="preserve"> y su cabecera esta situada en el ejido Primero de Mayo,</w:t>
      </w:r>
    </w:p>
    <w:p w:rsidR="006C2DE1" w:rsidRDefault="006C2DE1" w:rsidP="006A07F5">
      <w:pPr>
        <w:spacing w:after="0" w:line="240" w:lineRule="auto"/>
        <w:jc w:val="both"/>
        <w:rPr>
          <w:vertAlign w:val="superscript"/>
          <w:lang w:val="es-ES"/>
        </w:rPr>
      </w:pPr>
      <w:r>
        <w:rPr>
          <w:lang w:val="es-ES"/>
        </w:rPr>
        <w:t>El territorio tiene una superficie de 1,025.78 km2 y colinda con el municipio de Abasolo, en este municipio actualmente se encuentran grandes empresas de extracción del gas Shale y como dato general se informa que el partido político que actualmente tiene la mayoría es el PRI.</w:t>
      </w:r>
    </w:p>
    <w:p w:rsidR="006C2DE1" w:rsidRDefault="006C2DE1"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P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3A4B41">
        <w:t>Escobedo</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 xml:space="preserve">rativos que formen parte de la Administración Pública Estatal y </w:t>
      </w:r>
      <w:r w:rsidR="001463F6" w:rsidRPr="001463F6">
        <w:lastRenderedPageBreak/>
        <w:t>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E875D9" w:rsidRDefault="00E875D9" w:rsidP="00D0194C">
      <w:pPr>
        <w:spacing w:after="0" w:line="240" w:lineRule="auto"/>
        <w:jc w:val="both"/>
        <w:rPr>
          <w:rFonts w:cs="Arial-BoldMT"/>
          <w:bCs/>
        </w:rPr>
      </w:pPr>
    </w:p>
    <w:p w:rsidR="00DA78FE" w:rsidRDefault="00775367" w:rsidP="00775367">
      <w:pPr>
        <w:tabs>
          <w:tab w:val="left" w:pos="1926"/>
        </w:tabs>
        <w:spacing w:after="0" w:line="240" w:lineRule="auto"/>
        <w:jc w:val="both"/>
        <w:rPr>
          <w:rFonts w:cs="Arial-BoldMT"/>
          <w:bCs/>
        </w:rPr>
      </w:pPr>
      <w:r>
        <w:rPr>
          <w:rFonts w:cs="Arial-BoldMT"/>
          <w:bCs/>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DA78FE" w:rsidRPr="00CD06C4" w:rsidTr="007061BF">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MUEBLES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Equipo de Transporte</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bl>
    <w:p w:rsidR="00DA78FE" w:rsidRDefault="00DA78FE" w:rsidP="00D0194C">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Default="00EA5FD0" w:rsidP="006A07F5">
      <w:pPr>
        <w:spacing w:after="0" w:line="240" w:lineRule="auto"/>
        <w:jc w:val="both"/>
        <w:rPr>
          <w:rFonts w:cs="Arial-BoldMT"/>
          <w:bCs/>
        </w:rPr>
      </w:pPr>
      <w:r w:rsidRPr="00EA5FD0">
        <w:rPr>
          <w:rFonts w:cs="Arial-BoldMT"/>
          <w:bCs/>
        </w:rPr>
        <w:t xml:space="preserve">Se presenta el reporte de recaudación del 01 de </w:t>
      </w:r>
      <w:r w:rsidR="00192367">
        <w:rPr>
          <w:rFonts w:cs="Arial-BoldMT"/>
          <w:bCs/>
        </w:rPr>
        <w:t xml:space="preserve">Abril </w:t>
      </w:r>
      <w:r w:rsidRPr="00EA5FD0">
        <w:rPr>
          <w:rFonts w:cs="Arial-BoldMT"/>
          <w:bCs/>
        </w:rPr>
        <w:t>al 3</w:t>
      </w:r>
      <w:r w:rsidR="00192367">
        <w:rPr>
          <w:rFonts w:cs="Arial-BoldMT"/>
          <w:bCs/>
        </w:rPr>
        <w:t>0</w:t>
      </w:r>
      <w:r w:rsidRPr="00EA5FD0">
        <w:rPr>
          <w:rFonts w:cs="Arial-BoldMT"/>
          <w:bCs/>
        </w:rPr>
        <w:t xml:space="preserve"> de </w:t>
      </w:r>
      <w:r w:rsidR="00192367">
        <w:rPr>
          <w:rFonts w:cs="Arial-BoldMT"/>
          <w:bCs/>
        </w:rPr>
        <w:t>Junio</w:t>
      </w:r>
      <w:r w:rsidRPr="00EA5FD0">
        <w:rPr>
          <w:rFonts w:cs="Arial-BoldMT"/>
          <w:bCs/>
        </w:rPr>
        <w:t xml:space="preserve"> de 201</w:t>
      </w:r>
      <w:r w:rsidR="00E875D9">
        <w:rPr>
          <w:rFonts w:cs="Arial-BoldMT"/>
          <w:bCs/>
        </w:rPr>
        <w:t>7</w:t>
      </w:r>
      <w:r w:rsidRPr="00EA5FD0">
        <w:rPr>
          <w:rFonts w:cs="Arial-BoldMT"/>
          <w:bCs/>
        </w:rPr>
        <w:t>.</w:t>
      </w:r>
    </w:p>
    <w:p w:rsidR="009B294A" w:rsidRDefault="009B294A" w:rsidP="006A07F5">
      <w:pPr>
        <w:spacing w:after="0" w:line="240" w:lineRule="auto"/>
        <w:jc w:val="both"/>
        <w:rPr>
          <w:rFonts w:cs="Arial-BoldMT"/>
          <w:bCs/>
        </w:rPr>
      </w:pPr>
    </w:p>
    <w:tbl>
      <w:tblPr>
        <w:tblW w:w="6000" w:type="dxa"/>
        <w:jc w:val="center"/>
        <w:tblInd w:w="51" w:type="dxa"/>
        <w:tblCellMar>
          <w:left w:w="70" w:type="dxa"/>
          <w:right w:w="70" w:type="dxa"/>
        </w:tblCellMar>
        <w:tblLook w:val="04A0"/>
      </w:tblPr>
      <w:tblGrid>
        <w:gridCol w:w="2800"/>
        <w:gridCol w:w="1480"/>
        <w:gridCol w:w="1720"/>
      </w:tblGrid>
      <w:tr w:rsidR="00E875D9" w:rsidRPr="00E875D9" w:rsidTr="00E875D9">
        <w:trPr>
          <w:trHeight w:val="315"/>
          <w:jc w:val="center"/>
        </w:trPr>
        <w:tc>
          <w:tcPr>
            <w:tcW w:w="2800" w:type="dxa"/>
            <w:tcBorders>
              <w:top w:val="single" w:sz="8" w:space="0" w:color="auto"/>
              <w:left w:val="single" w:sz="8" w:space="0" w:color="auto"/>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lang w:eastAsia="es-MX"/>
              </w:rPr>
            </w:pPr>
            <w:r w:rsidRPr="00E875D9">
              <w:rPr>
                <w:rFonts w:eastAsia="Times New Roman" w:cs="Calibri"/>
                <w:b/>
                <w:bCs/>
                <w:color w:val="000000"/>
                <w:lang w:eastAsia="es-MX"/>
              </w:rPr>
              <w:t>CONCEPTO</w:t>
            </w:r>
          </w:p>
        </w:tc>
        <w:tc>
          <w:tcPr>
            <w:tcW w:w="1480" w:type="dxa"/>
            <w:tcBorders>
              <w:top w:val="single" w:sz="8" w:space="0" w:color="auto"/>
              <w:left w:val="nil"/>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lang w:eastAsia="es-MX"/>
              </w:rPr>
            </w:pPr>
            <w:r w:rsidRPr="00E875D9">
              <w:rPr>
                <w:rFonts w:eastAsia="Times New Roman" w:cs="Calibri"/>
                <w:b/>
                <w:bCs/>
                <w:color w:val="000000"/>
                <w:lang w:eastAsia="es-MX"/>
              </w:rPr>
              <w:t>MONTO</w:t>
            </w:r>
          </w:p>
        </w:tc>
        <w:tc>
          <w:tcPr>
            <w:tcW w:w="1720" w:type="dxa"/>
            <w:tcBorders>
              <w:top w:val="single" w:sz="8" w:space="0" w:color="auto"/>
              <w:left w:val="nil"/>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sz w:val="20"/>
                <w:szCs w:val="20"/>
                <w:lang w:eastAsia="es-MX"/>
              </w:rPr>
            </w:pPr>
            <w:r w:rsidRPr="00E875D9">
              <w:rPr>
                <w:rFonts w:eastAsia="Times New Roman" w:cs="Calibri"/>
                <w:b/>
                <w:bCs/>
                <w:color w:val="000000"/>
                <w:sz w:val="20"/>
                <w:szCs w:val="20"/>
                <w:lang w:eastAsia="es-MX"/>
              </w:rPr>
              <w:t>PORCENTAJE</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color w:val="000000"/>
                <w:lang w:eastAsia="es-MX"/>
              </w:rPr>
            </w:pPr>
            <w:r w:rsidRPr="00E875D9">
              <w:rPr>
                <w:rFonts w:eastAsia="Times New Roman" w:cs="Calibri"/>
                <w:color w:val="000000"/>
                <w:lang w:eastAsia="es-MX"/>
              </w:rPr>
              <w:lastRenderedPageBreak/>
              <w:t>INGRESOS FEDERALES</w:t>
            </w:r>
          </w:p>
        </w:tc>
        <w:tc>
          <w:tcPr>
            <w:tcW w:w="1480" w:type="dxa"/>
            <w:tcBorders>
              <w:top w:val="nil"/>
              <w:left w:val="nil"/>
              <w:bottom w:val="single" w:sz="8" w:space="0" w:color="auto"/>
              <w:right w:val="single" w:sz="8" w:space="0" w:color="auto"/>
            </w:tcBorders>
            <w:shd w:val="clear" w:color="auto" w:fill="auto"/>
            <w:hideMark/>
          </w:tcPr>
          <w:p w:rsidR="00E875D9" w:rsidRPr="00E875D9" w:rsidRDefault="009F6B16" w:rsidP="00E875D9">
            <w:pPr>
              <w:spacing w:after="0" w:line="240" w:lineRule="auto"/>
              <w:jc w:val="right"/>
              <w:rPr>
                <w:rFonts w:eastAsia="Times New Roman" w:cs="Calibri"/>
                <w:color w:val="000000"/>
                <w:lang w:eastAsia="es-MX"/>
              </w:rPr>
            </w:pPr>
            <w:r w:rsidRPr="009F6B16">
              <w:rPr>
                <w:rFonts w:eastAsia="Times New Roman" w:cs="Calibri"/>
                <w:color w:val="000000"/>
                <w:lang w:eastAsia="es-MX"/>
              </w:rPr>
              <w:t>9</w:t>
            </w:r>
            <w:r>
              <w:rPr>
                <w:rFonts w:eastAsia="Times New Roman" w:cs="Calibri"/>
                <w:color w:val="000000"/>
                <w:lang w:eastAsia="es-MX"/>
              </w:rPr>
              <w:t>,</w:t>
            </w:r>
            <w:r w:rsidRPr="009F6B16">
              <w:rPr>
                <w:rFonts w:eastAsia="Times New Roman" w:cs="Calibri"/>
                <w:color w:val="000000"/>
                <w:lang w:eastAsia="es-MX"/>
              </w:rPr>
              <w:t>584</w:t>
            </w:r>
            <w:r>
              <w:rPr>
                <w:rFonts w:eastAsia="Times New Roman" w:cs="Calibri"/>
                <w:color w:val="000000"/>
                <w:lang w:eastAsia="es-MX"/>
              </w:rPr>
              <w:t>,</w:t>
            </w:r>
            <w:r w:rsidRPr="009F6B16">
              <w:rPr>
                <w:rFonts w:eastAsia="Times New Roman" w:cs="Calibri"/>
                <w:color w:val="000000"/>
                <w:lang w:eastAsia="es-MX"/>
              </w:rPr>
              <w:t>590.83</w:t>
            </w:r>
          </w:p>
        </w:tc>
        <w:tc>
          <w:tcPr>
            <w:tcW w:w="1720" w:type="dxa"/>
            <w:tcBorders>
              <w:top w:val="nil"/>
              <w:left w:val="nil"/>
              <w:bottom w:val="single" w:sz="8" w:space="0" w:color="auto"/>
              <w:right w:val="single" w:sz="8" w:space="0" w:color="auto"/>
            </w:tcBorders>
            <w:shd w:val="clear" w:color="auto" w:fill="auto"/>
            <w:noWrap/>
            <w:vAlign w:val="bottom"/>
            <w:hideMark/>
          </w:tcPr>
          <w:p w:rsidR="00E875D9" w:rsidRPr="00E875D9" w:rsidRDefault="009F6B16" w:rsidP="00E875D9">
            <w:pPr>
              <w:spacing w:after="0" w:line="240" w:lineRule="auto"/>
              <w:jc w:val="center"/>
              <w:rPr>
                <w:rFonts w:eastAsia="Times New Roman" w:cs="Calibri"/>
                <w:color w:val="000000"/>
                <w:sz w:val="20"/>
                <w:szCs w:val="20"/>
                <w:lang w:eastAsia="es-MX"/>
              </w:rPr>
            </w:pPr>
            <w:r>
              <w:rPr>
                <w:rFonts w:eastAsia="Times New Roman" w:cs="Calibri"/>
                <w:color w:val="000000"/>
                <w:sz w:val="20"/>
                <w:szCs w:val="20"/>
                <w:lang w:eastAsia="es-MX"/>
              </w:rPr>
              <w:t>99</w:t>
            </w:r>
            <w:r w:rsidR="00E875D9" w:rsidRPr="00E875D9">
              <w:rPr>
                <w:rFonts w:eastAsia="Times New Roman" w:cs="Calibri"/>
                <w:color w:val="000000"/>
                <w:sz w:val="20"/>
                <w:szCs w:val="20"/>
                <w:lang w:eastAsia="es-MX"/>
              </w:rPr>
              <w:t>%</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color w:val="000000"/>
                <w:lang w:eastAsia="es-MX"/>
              </w:rPr>
            </w:pPr>
            <w:r w:rsidRPr="00E875D9">
              <w:rPr>
                <w:rFonts w:eastAsia="Times New Roman" w:cs="Calibri"/>
                <w:color w:val="000000"/>
                <w:lang w:eastAsia="es-MX"/>
              </w:rPr>
              <w:t>INGRESOS PROPIOS</w:t>
            </w:r>
          </w:p>
        </w:tc>
        <w:tc>
          <w:tcPr>
            <w:tcW w:w="1480" w:type="dxa"/>
            <w:tcBorders>
              <w:top w:val="nil"/>
              <w:left w:val="nil"/>
              <w:bottom w:val="single" w:sz="8" w:space="0" w:color="auto"/>
              <w:right w:val="single" w:sz="8" w:space="0" w:color="auto"/>
            </w:tcBorders>
            <w:shd w:val="clear" w:color="auto" w:fill="auto"/>
            <w:hideMark/>
          </w:tcPr>
          <w:p w:rsidR="00E875D9" w:rsidRPr="00E875D9" w:rsidRDefault="009F6B16" w:rsidP="00E875D9">
            <w:pPr>
              <w:spacing w:after="0" w:line="240" w:lineRule="auto"/>
              <w:jc w:val="right"/>
              <w:rPr>
                <w:rFonts w:eastAsia="Times New Roman" w:cs="Calibri"/>
                <w:color w:val="000000"/>
                <w:lang w:eastAsia="es-MX"/>
              </w:rPr>
            </w:pPr>
            <w:r w:rsidRPr="009F6B16">
              <w:rPr>
                <w:rFonts w:eastAsia="Times New Roman" w:cs="Calibri"/>
                <w:color w:val="000000"/>
                <w:lang w:eastAsia="es-MX"/>
              </w:rPr>
              <w:t>100</w:t>
            </w:r>
            <w:r>
              <w:rPr>
                <w:rFonts w:eastAsia="Times New Roman" w:cs="Calibri"/>
                <w:color w:val="000000"/>
                <w:lang w:eastAsia="es-MX"/>
              </w:rPr>
              <w:t>,</w:t>
            </w:r>
            <w:r w:rsidRPr="009F6B16">
              <w:rPr>
                <w:rFonts w:eastAsia="Times New Roman" w:cs="Calibri"/>
                <w:color w:val="000000"/>
                <w:lang w:eastAsia="es-MX"/>
              </w:rPr>
              <w:t>556.01</w:t>
            </w:r>
          </w:p>
        </w:tc>
        <w:tc>
          <w:tcPr>
            <w:tcW w:w="1720" w:type="dxa"/>
            <w:tcBorders>
              <w:top w:val="nil"/>
              <w:left w:val="nil"/>
              <w:bottom w:val="single" w:sz="8" w:space="0" w:color="auto"/>
              <w:right w:val="single" w:sz="8" w:space="0" w:color="auto"/>
            </w:tcBorders>
            <w:shd w:val="clear" w:color="auto" w:fill="auto"/>
            <w:noWrap/>
            <w:vAlign w:val="bottom"/>
            <w:hideMark/>
          </w:tcPr>
          <w:p w:rsidR="00E875D9" w:rsidRPr="00E875D9" w:rsidRDefault="009F6B16" w:rsidP="00E875D9">
            <w:pPr>
              <w:spacing w:after="0" w:line="240" w:lineRule="auto"/>
              <w:jc w:val="center"/>
              <w:rPr>
                <w:rFonts w:eastAsia="Times New Roman" w:cs="Calibri"/>
                <w:color w:val="000000"/>
                <w:sz w:val="20"/>
                <w:szCs w:val="20"/>
                <w:lang w:eastAsia="es-MX"/>
              </w:rPr>
            </w:pPr>
            <w:r>
              <w:rPr>
                <w:rFonts w:eastAsia="Times New Roman" w:cs="Calibri"/>
                <w:color w:val="000000"/>
                <w:sz w:val="20"/>
                <w:szCs w:val="20"/>
                <w:lang w:eastAsia="es-MX"/>
              </w:rPr>
              <w:t>1</w:t>
            </w:r>
            <w:r w:rsidR="00E875D9" w:rsidRPr="00E875D9">
              <w:rPr>
                <w:rFonts w:eastAsia="Times New Roman" w:cs="Calibri"/>
                <w:color w:val="000000"/>
                <w:sz w:val="20"/>
                <w:szCs w:val="20"/>
                <w:lang w:eastAsia="es-MX"/>
              </w:rPr>
              <w:t>%</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b/>
                <w:bCs/>
                <w:color w:val="000000"/>
                <w:lang w:eastAsia="es-MX"/>
              </w:rPr>
            </w:pPr>
            <w:r w:rsidRPr="00E875D9">
              <w:rPr>
                <w:rFonts w:eastAsia="Times New Roman" w:cs="Calibri"/>
                <w:b/>
                <w:bCs/>
                <w:color w:val="000000"/>
                <w:lang w:eastAsia="es-MX"/>
              </w:rPr>
              <w:t>TOTAL</w:t>
            </w:r>
          </w:p>
        </w:tc>
        <w:tc>
          <w:tcPr>
            <w:tcW w:w="1480" w:type="dxa"/>
            <w:tcBorders>
              <w:top w:val="nil"/>
              <w:left w:val="nil"/>
              <w:bottom w:val="single" w:sz="8" w:space="0" w:color="auto"/>
              <w:right w:val="single" w:sz="8" w:space="0" w:color="auto"/>
            </w:tcBorders>
            <w:shd w:val="clear" w:color="auto" w:fill="auto"/>
            <w:noWrap/>
            <w:hideMark/>
          </w:tcPr>
          <w:p w:rsidR="00E875D9" w:rsidRPr="00E875D9" w:rsidRDefault="00E875D9" w:rsidP="009F6B16">
            <w:pPr>
              <w:spacing w:after="0" w:line="240" w:lineRule="auto"/>
              <w:jc w:val="right"/>
              <w:rPr>
                <w:rFonts w:eastAsia="Times New Roman" w:cs="Calibri"/>
                <w:b/>
                <w:bCs/>
                <w:color w:val="000000"/>
                <w:lang w:eastAsia="es-MX"/>
              </w:rPr>
            </w:pPr>
            <w:r w:rsidRPr="00E875D9">
              <w:rPr>
                <w:rFonts w:eastAsia="Times New Roman" w:cs="Calibri"/>
                <w:b/>
                <w:bCs/>
                <w:color w:val="000000"/>
                <w:lang w:eastAsia="es-MX"/>
              </w:rPr>
              <w:t>$</w:t>
            </w:r>
            <w:r w:rsidR="009F6B16" w:rsidRPr="009F6B16">
              <w:rPr>
                <w:rFonts w:eastAsia="Times New Roman" w:cs="Calibri"/>
                <w:b/>
                <w:bCs/>
                <w:color w:val="000000"/>
                <w:lang w:eastAsia="es-MX"/>
              </w:rPr>
              <w:t>9</w:t>
            </w:r>
            <w:r w:rsidR="009F6B16">
              <w:rPr>
                <w:rFonts w:eastAsia="Times New Roman" w:cs="Calibri"/>
                <w:b/>
                <w:bCs/>
                <w:color w:val="000000"/>
                <w:lang w:eastAsia="es-MX"/>
              </w:rPr>
              <w:t>,</w:t>
            </w:r>
            <w:r w:rsidR="009F6B16" w:rsidRPr="009F6B16">
              <w:rPr>
                <w:rFonts w:eastAsia="Times New Roman" w:cs="Calibri"/>
                <w:b/>
                <w:bCs/>
                <w:color w:val="000000"/>
                <w:lang w:eastAsia="es-MX"/>
              </w:rPr>
              <w:t>685</w:t>
            </w:r>
            <w:r w:rsidR="009F6B16">
              <w:rPr>
                <w:rFonts w:eastAsia="Times New Roman" w:cs="Calibri"/>
                <w:b/>
                <w:bCs/>
                <w:color w:val="000000"/>
                <w:lang w:eastAsia="es-MX"/>
              </w:rPr>
              <w:t>,</w:t>
            </w:r>
            <w:r w:rsidR="009F6B16" w:rsidRPr="009F6B16">
              <w:rPr>
                <w:rFonts w:eastAsia="Times New Roman" w:cs="Calibri"/>
                <w:b/>
                <w:bCs/>
                <w:color w:val="000000"/>
                <w:lang w:eastAsia="es-MX"/>
              </w:rPr>
              <w:t>146.84</w:t>
            </w:r>
          </w:p>
        </w:tc>
        <w:tc>
          <w:tcPr>
            <w:tcW w:w="1720" w:type="dxa"/>
            <w:tcBorders>
              <w:top w:val="nil"/>
              <w:left w:val="nil"/>
              <w:bottom w:val="nil"/>
              <w:right w:val="nil"/>
            </w:tcBorders>
            <w:shd w:val="clear" w:color="auto" w:fill="auto"/>
            <w:noWrap/>
            <w:vAlign w:val="bottom"/>
            <w:hideMark/>
          </w:tcPr>
          <w:p w:rsidR="00E875D9" w:rsidRPr="00E875D9" w:rsidRDefault="00E875D9" w:rsidP="00E875D9">
            <w:pPr>
              <w:spacing w:after="0" w:line="240" w:lineRule="auto"/>
              <w:rPr>
                <w:rFonts w:eastAsia="Times New Roman" w:cs="Calibri"/>
                <w:color w:val="000000"/>
                <w:lang w:eastAsia="es-MX"/>
              </w:rPr>
            </w:pPr>
          </w:p>
        </w:tc>
      </w:tr>
    </w:tbl>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8E1B5E" w:rsidRPr="009F6B16" w:rsidRDefault="005C1FA5" w:rsidP="009F6B16">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3A4B41">
        <w:rPr>
          <w:rFonts w:cs="Arial-BoldMT"/>
          <w:bCs/>
        </w:rPr>
        <w:t>Escobedo</w:t>
      </w:r>
      <w:r w:rsidR="00C00719">
        <w:rPr>
          <w:rFonts w:cs="Arial-BoldMT"/>
          <w:bCs/>
        </w:rPr>
        <w:t>.</w:t>
      </w:r>
    </w:p>
    <w:p w:rsidR="00127D12" w:rsidRDefault="00127D12" w:rsidP="00013225">
      <w:pPr>
        <w:spacing w:after="0" w:line="240" w:lineRule="auto"/>
        <w:rPr>
          <w:rFonts w:cs="Arial-BoldMT"/>
          <w:b/>
          <w:bCs/>
          <w:sz w:val="24"/>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D35EC4" w:rsidRPr="00DA3B68" w:rsidRDefault="00CE6AF7" w:rsidP="00DB591A">
      <w:pPr>
        <w:spacing w:after="0" w:line="240" w:lineRule="auto"/>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486BA7">
        <w:rPr>
          <w:rFonts w:cs="Arial-BoldMT"/>
          <w:bCs/>
          <w:sz w:val="24"/>
        </w:rPr>
        <w:t xml:space="preserve">a Presidencia Municipal de </w:t>
      </w:r>
      <w:r w:rsidR="003A4B41">
        <w:rPr>
          <w:rFonts w:cs="Arial-BoldMT"/>
          <w:bCs/>
          <w:sz w:val="24"/>
        </w:rPr>
        <w:t>Escobedo</w:t>
      </w:r>
      <w:r w:rsidRPr="00DA3B68">
        <w:rPr>
          <w:rFonts w:cs="Arial-BoldMT"/>
          <w:bCs/>
          <w:sz w:val="24"/>
        </w:rPr>
        <w:t>”</w:t>
      </w:r>
    </w:p>
    <w:p w:rsidR="00980688" w:rsidRPr="00784A74" w:rsidRDefault="00980688"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AF1D27" w:rsidP="006A07F5">
      <w:pPr>
        <w:spacing w:after="0" w:line="240" w:lineRule="auto"/>
        <w:jc w:val="both"/>
      </w:pPr>
      <w:r>
        <w:t>____</w:t>
      </w:r>
      <w:r w:rsidR="00F31EE6">
        <w:t>_</w:t>
      </w:r>
      <w:r w:rsidR="00E3559C">
        <w:t>________________________</w:t>
      </w:r>
      <w:r w:rsidR="00F31EE6">
        <w:t>_____          _</w:t>
      </w:r>
      <w:r w:rsidR="00FC3DEF">
        <w:t>__________</w:t>
      </w:r>
      <w:r w:rsidR="00F31EE6">
        <w:t>____</w:t>
      </w:r>
      <w:r w:rsidR="00E3559C">
        <w:t>___</w:t>
      </w:r>
      <w:r w:rsidR="00F31EE6">
        <w:t>_______________________</w:t>
      </w:r>
    </w:p>
    <w:p w:rsidR="00FB4FB6" w:rsidRPr="00E3559C" w:rsidRDefault="00C00719" w:rsidP="006A07F5">
      <w:pPr>
        <w:spacing w:after="0" w:line="240" w:lineRule="auto"/>
        <w:jc w:val="both"/>
      </w:pPr>
      <w:r>
        <w:rPr>
          <w:b/>
        </w:rPr>
        <w:t xml:space="preserve"> </w:t>
      </w:r>
      <w:r w:rsidR="00FC3DEF">
        <w:rPr>
          <w:b/>
        </w:rPr>
        <w:t xml:space="preserve">              C. JOSÉ MARTINEZ ARRIAGA</w:t>
      </w:r>
      <w:r w:rsidR="00AF1D27">
        <w:rPr>
          <w:b/>
        </w:rPr>
        <w:t xml:space="preserve">               </w:t>
      </w:r>
      <w:r w:rsidR="00B06A29">
        <w:rPr>
          <w:b/>
        </w:rPr>
        <w:t xml:space="preserve">   </w:t>
      </w:r>
      <w:r w:rsidR="00F31EE6" w:rsidRPr="00E3559C">
        <w:rPr>
          <w:b/>
        </w:rPr>
        <w:t xml:space="preserve">   </w:t>
      </w:r>
      <w:r>
        <w:rPr>
          <w:b/>
        </w:rPr>
        <w:t xml:space="preserve">LIC. </w:t>
      </w:r>
      <w:r w:rsidR="00FC3DEF">
        <w:rPr>
          <w:b/>
        </w:rPr>
        <w:t>BERNARDO CARLOS MONTOYA DE LOS REYES</w:t>
      </w:r>
    </w:p>
    <w:p w:rsidR="00FB4FB6" w:rsidRPr="00FB475E" w:rsidRDefault="00F31EE6" w:rsidP="006A07F5">
      <w:pPr>
        <w:spacing w:after="0" w:line="240" w:lineRule="auto"/>
        <w:jc w:val="both"/>
        <w:rPr>
          <w:b/>
        </w:rPr>
      </w:pPr>
      <w:r w:rsidRPr="00FB475E">
        <w:rPr>
          <w:b/>
        </w:rPr>
        <w:t xml:space="preserve">  </w:t>
      </w:r>
      <w:r w:rsidR="00FB475E" w:rsidRPr="00FB475E">
        <w:rPr>
          <w:b/>
        </w:rPr>
        <w:t xml:space="preserve">                 PRESIDENTE MUNICPAL                                                     TESORERO MUNICIPAL</w:t>
      </w:r>
    </w:p>
    <w:p w:rsidR="00FB475E" w:rsidRPr="00784A74" w:rsidRDefault="00FB475E" w:rsidP="006A07F5">
      <w:pPr>
        <w:spacing w:after="0" w:line="240" w:lineRule="auto"/>
        <w:jc w:val="both"/>
      </w:pPr>
      <w:bookmarkStart w:id="3" w:name="_GoBack"/>
      <w:bookmarkEnd w:id="3"/>
    </w:p>
    <w:sectPr w:rsidR="00FB475E" w:rsidRPr="00784A74" w:rsidSect="00EB43A1">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4E1" w:rsidRDefault="00BF74E1" w:rsidP="00703BF4">
      <w:pPr>
        <w:spacing w:after="0" w:line="240" w:lineRule="auto"/>
      </w:pPr>
      <w:r>
        <w:separator/>
      </w:r>
    </w:p>
  </w:endnote>
  <w:endnote w:type="continuationSeparator" w:id="0">
    <w:p w:rsidR="00BF74E1" w:rsidRDefault="00BF74E1"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72" w:rsidRDefault="00C22772">
    <w:pPr>
      <w:pStyle w:val="Piedepgina"/>
      <w:jc w:val="right"/>
    </w:pPr>
    <w:r w:rsidRPr="005C5501">
      <w:rPr>
        <w:sz w:val="20"/>
      </w:rPr>
      <w:t xml:space="preserve">Página </w:t>
    </w:r>
    <w:r w:rsidR="007D335F" w:rsidRPr="005C5501">
      <w:rPr>
        <w:szCs w:val="24"/>
      </w:rPr>
      <w:fldChar w:fldCharType="begin"/>
    </w:r>
    <w:r w:rsidRPr="005C5501">
      <w:rPr>
        <w:sz w:val="20"/>
      </w:rPr>
      <w:instrText>PAGE</w:instrText>
    </w:r>
    <w:r w:rsidR="007D335F" w:rsidRPr="005C5501">
      <w:rPr>
        <w:szCs w:val="24"/>
      </w:rPr>
      <w:fldChar w:fldCharType="separate"/>
    </w:r>
    <w:r w:rsidR="000C7C8F">
      <w:rPr>
        <w:noProof/>
        <w:sz w:val="20"/>
      </w:rPr>
      <w:t>1</w:t>
    </w:r>
    <w:r w:rsidR="007D335F" w:rsidRPr="005C5501">
      <w:rPr>
        <w:szCs w:val="24"/>
      </w:rPr>
      <w:fldChar w:fldCharType="end"/>
    </w:r>
    <w:r w:rsidRPr="005C5501">
      <w:rPr>
        <w:sz w:val="20"/>
      </w:rPr>
      <w:t xml:space="preserve"> de </w:t>
    </w:r>
    <w:r w:rsidR="007D335F" w:rsidRPr="005C5501">
      <w:rPr>
        <w:szCs w:val="24"/>
      </w:rPr>
      <w:fldChar w:fldCharType="begin"/>
    </w:r>
    <w:r w:rsidRPr="005C5501">
      <w:rPr>
        <w:sz w:val="20"/>
      </w:rPr>
      <w:instrText>NUMPAGES</w:instrText>
    </w:r>
    <w:r w:rsidR="007D335F" w:rsidRPr="005C5501">
      <w:rPr>
        <w:szCs w:val="24"/>
      </w:rPr>
      <w:fldChar w:fldCharType="separate"/>
    </w:r>
    <w:r w:rsidR="000C7C8F">
      <w:rPr>
        <w:noProof/>
        <w:sz w:val="20"/>
      </w:rPr>
      <w:t>13</w:t>
    </w:r>
    <w:r w:rsidR="007D335F" w:rsidRPr="005C5501">
      <w:rPr>
        <w:szCs w:val="24"/>
      </w:rPr>
      <w:fldChar w:fldCharType="end"/>
    </w:r>
  </w:p>
  <w:p w:rsidR="00C22772" w:rsidRDefault="00C227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4E1" w:rsidRDefault="00BF74E1" w:rsidP="00703BF4">
      <w:pPr>
        <w:spacing w:after="0" w:line="240" w:lineRule="auto"/>
      </w:pPr>
      <w:r>
        <w:separator/>
      </w:r>
    </w:p>
  </w:footnote>
  <w:footnote w:type="continuationSeparator" w:id="0">
    <w:p w:rsidR="00BF74E1" w:rsidRDefault="00BF74E1" w:rsidP="00703BF4">
      <w:pPr>
        <w:spacing w:after="0" w:line="240" w:lineRule="auto"/>
      </w:pPr>
      <w:r>
        <w:continuationSeparator/>
      </w:r>
    </w:p>
  </w:footnote>
  <w:footnote w:id="1">
    <w:p w:rsidR="00C22772" w:rsidRPr="00D61455" w:rsidRDefault="00C22772" w:rsidP="00EB5EEB">
      <w:pPr>
        <w:pStyle w:val="Textonotapie"/>
        <w:rPr>
          <w:szCs w:val="18"/>
          <w:lang w:val="es-MX"/>
        </w:rPr>
      </w:pPr>
    </w:p>
  </w:footnote>
  <w:footnote w:id="2">
    <w:p w:rsidR="00C22772" w:rsidRPr="00D61455" w:rsidRDefault="00C22772" w:rsidP="00DA78FE">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772" w:rsidRDefault="007D335F" w:rsidP="005A284A">
    <w:pPr>
      <w:tabs>
        <w:tab w:val="center" w:pos="4749"/>
        <w:tab w:val="right" w:pos="9498"/>
      </w:tabs>
      <w:spacing w:after="0" w:line="240" w:lineRule="auto"/>
      <w:rPr>
        <w:b/>
        <w:sz w:val="40"/>
        <w:szCs w:val="40"/>
      </w:rPr>
    </w:pPr>
    <w:r>
      <w:rPr>
        <w:b/>
        <w:noProof/>
        <w:sz w:val="40"/>
        <w:szCs w:val="4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6.25pt;margin-top:-15.75pt;width:46.95pt;height:72.35pt;z-index:-1">
          <v:imagedata r:id="rId1" o:title=""/>
        </v:shape>
      </w:pict>
    </w:r>
    <w:r>
      <w:rPr>
        <w:b/>
        <w:noProof/>
        <w:sz w:val="40"/>
        <w:szCs w:val="40"/>
        <w:lang w:eastAsia="es-MX"/>
      </w:rPr>
      <w:pict>
        <v:shape id="_x0000_s2059" type="#_x0000_t75" style="position:absolute;margin-left:405.55pt;margin-top:-41.85pt;width:121.45pt;height:125.3pt;z-index:-2">
          <v:imagedata r:id="rId2" o:title=""/>
        </v:shape>
      </w:pict>
    </w:r>
    <w:r w:rsidR="00C22772">
      <w:rPr>
        <w:b/>
        <w:sz w:val="40"/>
        <w:szCs w:val="40"/>
      </w:rPr>
      <w:t xml:space="preserve">                  Municipio de Escobedo, Coahuila</w:t>
    </w:r>
    <w:r w:rsidR="00C22772">
      <w:rPr>
        <w:b/>
        <w:sz w:val="40"/>
        <w:szCs w:val="40"/>
      </w:rPr>
      <w:tab/>
    </w:r>
  </w:p>
  <w:p w:rsidR="00C22772" w:rsidRPr="00784A74" w:rsidRDefault="00C22772" w:rsidP="005A284A">
    <w:pPr>
      <w:spacing w:after="0" w:line="240" w:lineRule="auto"/>
      <w:rPr>
        <w:b/>
        <w:sz w:val="28"/>
        <w:u w:val="single"/>
      </w:rPr>
    </w:pPr>
    <w:r w:rsidRPr="005A284A">
      <w:rPr>
        <w:b/>
        <w:sz w:val="28"/>
      </w:rPr>
      <w:t xml:space="preserve">                                    </w:t>
    </w:r>
    <w:r w:rsidRPr="00784A74">
      <w:rPr>
        <w:b/>
        <w:sz w:val="28"/>
        <w:u w:val="single"/>
      </w:rPr>
      <w:t>NOTAS A LOS ESTADOS FINANCIEROS</w:t>
    </w:r>
  </w:p>
  <w:p w:rsidR="00C22772" w:rsidRDefault="00C22772" w:rsidP="005A284A">
    <w:pPr>
      <w:spacing w:after="0" w:line="240" w:lineRule="auto"/>
      <w:rPr>
        <w:b/>
        <w:sz w:val="24"/>
      </w:rPr>
    </w:pPr>
    <w:r>
      <w:rPr>
        <w:b/>
        <w:sz w:val="24"/>
      </w:rPr>
      <w:t xml:space="preserve">                                        </w:t>
    </w:r>
    <w:r w:rsidRPr="00784A74">
      <w:rPr>
        <w:b/>
        <w:sz w:val="24"/>
      </w:rPr>
      <w:t>D</w:t>
    </w:r>
    <w:r>
      <w:rPr>
        <w:b/>
        <w:sz w:val="24"/>
      </w:rPr>
      <w:t xml:space="preserve">EL 1 DE ABRILAL 30 DE JUNIO </w:t>
    </w:r>
    <w:r w:rsidRPr="00784A74">
      <w:rPr>
        <w:b/>
        <w:sz w:val="24"/>
      </w:rPr>
      <w:t>DE</w:t>
    </w:r>
    <w:r>
      <w:rPr>
        <w:b/>
        <w:sz w:val="24"/>
      </w:rPr>
      <w:t xml:space="preserve"> 2017</w:t>
    </w:r>
  </w:p>
  <w:p w:rsidR="00C22772" w:rsidRPr="00E3559C" w:rsidRDefault="00C22772" w:rsidP="00E3559C">
    <w:pPr>
      <w:spacing w:after="0" w:line="240" w:lineRule="auto"/>
      <w:jc w:val="center"/>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35C"/>
    <w:rsid w:val="000025E1"/>
    <w:rsid w:val="00011D7D"/>
    <w:rsid w:val="000126D6"/>
    <w:rsid w:val="00013225"/>
    <w:rsid w:val="00025CE5"/>
    <w:rsid w:val="0003082C"/>
    <w:rsid w:val="00032580"/>
    <w:rsid w:val="00042B29"/>
    <w:rsid w:val="00047A0D"/>
    <w:rsid w:val="0005005F"/>
    <w:rsid w:val="00052FDD"/>
    <w:rsid w:val="0006757D"/>
    <w:rsid w:val="00071513"/>
    <w:rsid w:val="00081C03"/>
    <w:rsid w:val="00085C44"/>
    <w:rsid w:val="0008762B"/>
    <w:rsid w:val="00090C84"/>
    <w:rsid w:val="00095082"/>
    <w:rsid w:val="000A4220"/>
    <w:rsid w:val="000B440B"/>
    <w:rsid w:val="000B5C69"/>
    <w:rsid w:val="000C077A"/>
    <w:rsid w:val="000C23DD"/>
    <w:rsid w:val="000C60B1"/>
    <w:rsid w:val="000C7C8F"/>
    <w:rsid w:val="000D7D5E"/>
    <w:rsid w:val="000E1C66"/>
    <w:rsid w:val="000E2539"/>
    <w:rsid w:val="000E449A"/>
    <w:rsid w:val="000E4511"/>
    <w:rsid w:val="000F4895"/>
    <w:rsid w:val="0010483C"/>
    <w:rsid w:val="00105EB7"/>
    <w:rsid w:val="0012652C"/>
    <w:rsid w:val="00127D12"/>
    <w:rsid w:val="001301DD"/>
    <w:rsid w:val="00133206"/>
    <w:rsid w:val="00134079"/>
    <w:rsid w:val="00136A7B"/>
    <w:rsid w:val="001463F6"/>
    <w:rsid w:val="00147036"/>
    <w:rsid w:val="00156B6B"/>
    <w:rsid w:val="001623EB"/>
    <w:rsid w:val="00170C0C"/>
    <w:rsid w:val="00176EBB"/>
    <w:rsid w:val="00180EBC"/>
    <w:rsid w:val="00181908"/>
    <w:rsid w:val="00184506"/>
    <w:rsid w:val="001852DF"/>
    <w:rsid w:val="00185B12"/>
    <w:rsid w:val="00192367"/>
    <w:rsid w:val="00192D91"/>
    <w:rsid w:val="001941F1"/>
    <w:rsid w:val="00194F6D"/>
    <w:rsid w:val="0019518A"/>
    <w:rsid w:val="00195E0A"/>
    <w:rsid w:val="001A50C2"/>
    <w:rsid w:val="001B19AA"/>
    <w:rsid w:val="001B2872"/>
    <w:rsid w:val="001B489C"/>
    <w:rsid w:val="001B5976"/>
    <w:rsid w:val="001C18A7"/>
    <w:rsid w:val="001C2A84"/>
    <w:rsid w:val="001C4F19"/>
    <w:rsid w:val="001C6394"/>
    <w:rsid w:val="001D0275"/>
    <w:rsid w:val="001D3536"/>
    <w:rsid w:val="001D4BDA"/>
    <w:rsid w:val="001E03CF"/>
    <w:rsid w:val="001E1A0D"/>
    <w:rsid w:val="001E5906"/>
    <w:rsid w:val="001E7F73"/>
    <w:rsid w:val="001F7D4A"/>
    <w:rsid w:val="0020389C"/>
    <w:rsid w:val="002046F6"/>
    <w:rsid w:val="0020556D"/>
    <w:rsid w:val="00213806"/>
    <w:rsid w:val="00230151"/>
    <w:rsid w:val="002331C0"/>
    <w:rsid w:val="002331E0"/>
    <w:rsid w:val="00233E0C"/>
    <w:rsid w:val="002358A8"/>
    <w:rsid w:val="0024772A"/>
    <w:rsid w:val="0025004E"/>
    <w:rsid w:val="00254378"/>
    <w:rsid w:val="00256E67"/>
    <w:rsid w:val="00260929"/>
    <w:rsid w:val="00264A1B"/>
    <w:rsid w:val="00285288"/>
    <w:rsid w:val="0029195C"/>
    <w:rsid w:val="00295E1E"/>
    <w:rsid w:val="002A0489"/>
    <w:rsid w:val="002A1508"/>
    <w:rsid w:val="002A2E79"/>
    <w:rsid w:val="002A7484"/>
    <w:rsid w:val="002C2278"/>
    <w:rsid w:val="002C469C"/>
    <w:rsid w:val="002D14ED"/>
    <w:rsid w:val="002D484A"/>
    <w:rsid w:val="002E64AE"/>
    <w:rsid w:val="002F0727"/>
    <w:rsid w:val="002F1B2E"/>
    <w:rsid w:val="002F56BB"/>
    <w:rsid w:val="0030132B"/>
    <w:rsid w:val="003050C4"/>
    <w:rsid w:val="00307597"/>
    <w:rsid w:val="003234B0"/>
    <w:rsid w:val="00327181"/>
    <w:rsid w:val="00327329"/>
    <w:rsid w:val="003302CC"/>
    <w:rsid w:val="00335159"/>
    <w:rsid w:val="0033659F"/>
    <w:rsid w:val="003365D0"/>
    <w:rsid w:val="00340D71"/>
    <w:rsid w:val="00343265"/>
    <w:rsid w:val="00346FEF"/>
    <w:rsid w:val="003571BA"/>
    <w:rsid w:val="0036155A"/>
    <w:rsid w:val="003622E4"/>
    <w:rsid w:val="00364AEE"/>
    <w:rsid w:val="00370501"/>
    <w:rsid w:val="00374531"/>
    <w:rsid w:val="00375066"/>
    <w:rsid w:val="0038355D"/>
    <w:rsid w:val="00392A38"/>
    <w:rsid w:val="003A2F1B"/>
    <w:rsid w:val="003A403A"/>
    <w:rsid w:val="003A4B41"/>
    <w:rsid w:val="003A5F0B"/>
    <w:rsid w:val="003A736A"/>
    <w:rsid w:val="003B08E9"/>
    <w:rsid w:val="003B0D02"/>
    <w:rsid w:val="003B3AAD"/>
    <w:rsid w:val="003B5936"/>
    <w:rsid w:val="003B62D2"/>
    <w:rsid w:val="003C30C8"/>
    <w:rsid w:val="003C3CB5"/>
    <w:rsid w:val="003D373A"/>
    <w:rsid w:val="003E4297"/>
    <w:rsid w:val="003E49AC"/>
    <w:rsid w:val="003E6411"/>
    <w:rsid w:val="003F2F2B"/>
    <w:rsid w:val="003F4E03"/>
    <w:rsid w:val="00401856"/>
    <w:rsid w:val="00402161"/>
    <w:rsid w:val="00403E8E"/>
    <w:rsid w:val="004079FB"/>
    <w:rsid w:val="00412229"/>
    <w:rsid w:val="00414099"/>
    <w:rsid w:val="0042126F"/>
    <w:rsid w:val="00426A1A"/>
    <w:rsid w:val="00427F19"/>
    <w:rsid w:val="004349ED"/>
    <w:rsid w:val="00436158"/>
    <w:rsid w:val="004361EE"/>
    <w:rsid w:val="00441AE0"/>
    <w:rsid w:val="00445B57"/>
    <w:rsid w:val="00452165"/>
    <w:rsid w:val="0045544A"/>
    <w:rsid w:val="0045665B"/>
    <w:rsid w:val="004577E1"/>
    <w:rsid w:val="00464674"/>
    <w:rsid w:val="00470C12"/>
    <w:rsid w:val="00480286"/>
    <w:rsid w:val="0048050A"/>
    <w:rsid w:val="00486BA7"/>
    <w:rsid w:val="00490887"/>
    <w:rsid w:val="00490961"/>
    <w:rsid w:val="00492509"/>
    <w:rsid w:val="004A45A6"/>
    <w:rsid w:val="004B1C0E"/>
    <w:rsid w:val="004C5400"/>
    <w:rsid w:val="004D0F21"/>
    <w:rsid w:val="004D73CD"/>
    <w:rsid w:val="004E1A30"/>
    <w:rsid w:val="004E1EFB"/>
    <w:rsid w:val="004E3BDC"/>
    <w:rsid w:val="004E49AA"/>
    <w:rsid w:val="004E5575"/>
    <w:rsid w:val="004E57DE"/>
    <w:rsid w:val="004F318C"/>
    <w:rsid w:val="004F357B"/>
    <w:rsid w:val="004F437D"/>
    <w:rsid w:val="005002FD"/>
    <w:rsid w:val="00500B91"/>
    <w:rsid w:val="005014F0"/>
    <w:rsid w:val="0050735B"/>
    <w:rsid w:val="005120B8"/>
    <w:rsid w:val="00514B14"/>
    <w:rsid w:val="0053656D"/>
    <w:rsid w:val="0054082B"/>
    <w:rsid w:val="005428F9"/>
    <w:rsid w:val="00542A2E"/>
    <w:rsid w:val="00543004"/>
    <w:rsid w:val="00543565"/>
    <w:rsid w:val="00544109"/>
    <w:rsid w:val="00551EB5"/>
    <w:rsid w:val="005544D9"/>
    <w:rsid w:val="00556166"/>
    <w:rsid w:val="00563DA4"/>
    <w:rsid w:val="00566BD8"/>
    <w:rsid w:val="0057479B"/>
    <w:rsid w:val="00574CBC"/>
    <w:rsid w:val="005825BF"/>
    <w:rsid w:val="00582926"/>
    <w:rsid w:val="00587CD9"/>
    <w:rsid w:val="0059268C"/>
    <w:rsid w:val="00592703"/>
    <w:rsid w:val="005A050B"/>
    <w:rsid w:val="005A284A"/>
    <w:rsid w:val="005A3EED"/>
    <w:rsid w:val="005A569E"/>
    <w:rsid w:val="005A59FF"/>
    <w:rsid w:val="005A7F3A"/>
    <w:rsid w:val="005B0C82"/>
    <w:rsid w:val="005B1F37"/>
    <w:rsid w:val="005B4E73"/>
    <w:rsid w:val="005B5E22"/>
    <w:rsid w:val="005C0015"/>
    <w:rsid w:val="005C1FA5"/>
    <w:rsid w:val="005C5501"/>
    <w:rsid w:val="005D4DDF"/>
    <w:rsid w:val="005E4487"/>
    <w:rsid w:val="005E5855"/>
    <w:rsid w:val="005E596B"/>
    <w:rsid w:val="005E6EDF"/>
    <w:rsid w:val="005F17D5"/>
    <w:rsid w:val="005F5740"/>
    <w:rsid w:val="005F69EF"/>
    <w:rsid w:val="0060093F"/>
    <w:rsid w:val="00600AF4"/>
    <w:rsid w:val="00605BFA"/>
    <w:rsid w:val="00611103"/>
    <w:rsid w:val="0062249E"/>
    <w:rsid w:val="006242A8"/>
    <w:rsid w:val="00627238"/>
    <w:rsid w:val="00632165"/>
    <w:rsid w:val="00632836"/>
    <w:rsid w:val="00632C1E"/>
    <w:rsid w:val="006378F9"/>
    <w:rsid w:val="006403F2"/>
    <w:rsid w:val="00644BCD"/>
    <w:rsid w:val="006458B3"/>
    <w:rsid w:val="00646AF8"/>
    <w:rsid w:val="00646C87"/>
    <w:rsid w:val="00651D7A"/>
    <w:rsid w:val="00654A9B"/>
    <w:rsid w:val="0066357F"/>
    <w:rsid w:val="00666EF2"/>
    <w:rsid w:val="00671DD8"/>
    <w:rsid w:val="006908F6"/>
    <w:rsid w:val="006A07F5"/>
    <w:rsid w:val="006B237E"/>
    <w:rsid w:val="006C0850"/>
    <w:rsid w:val="006C14F2"/>
    <w:rsid w:val="006C1539"/>
    <w:rsid w:val="006C2DE1"/>
    <w:rsid w:val="006C5F40"/>
    <w:rsid w:val="006C7F24"/>
    <w:rsid w:val="006D2C56"/>
    <w:rsid w:val="006D4526"/>
    <w:rsid w:val="006D69B3"/>
    <w:rsid w:val="006E2CC5"/>
    <w:rsid w:val="006E7857"/>
    <w:rsid w:val="006F3343"/>
    <w:rsid w:val="006F4520"/>
    <w:rsid w:val="006F56B9"/>
    <w:rsid w:val="007007BF"/>
    <w:rsid w:val="00703BF4"/>
    <w:rsid w:val="007061BF"/>
    <w:rsid w:val="00706C97"/>
    <w:rsid w:val="00707931"/>
    <w:rsid w:val="00715635"/>
    <w:rsid w:val="00715A3E"/>
    <w:rsid w:val="00717367"/>
    <w:rsid w:val="007178AE"/>
    <w:rsid w:val="00720C20"/>
    <w:rsid w:val="00721474"/>
    <w:rsid w:val="007242EC"/>
    <w:rsid w:val="00731560"/>
    <w:rsid w:val="00736557"/>
    <w:rsid w:val="00741BF8"/>
    <w:rsid w:val="0074607D"/>
    <w:rsid w:val="00752791"/>
    <w:rsid w:val="00753362"/>
    <w:rsid w:val="00761120"/>
    <w:rsid w:val="007635FC"/>
    <w:rsid w:val="007664CC"/>
    <w:rsid w:val="0077047A"/>
    <w:rsid w:val="00775367"/>
    <w:rsid w:val="00784A74"/>
    <w:rsid w:val="0079414A"/>
    <w:rsid w:val="00794FDE"/>
    <w:rsid w:val="00795755"/>
    <w:rsid w:val="007B3BA8"/>
    <w:rsid w:val="007B7920"/>
    <w:rsid w:val="007C5050"/>
    <w:rsid w:val="007C649E"/>
    <w:rsid w:val="007C7E8B"/>
    <w:rsid w:val="007D050D"/>
    <w:rsid w:val="007D1A8F"/>
    <w:rsid w:val="007D335F"/>
    <w:rsid w:val="007D4438"/>
    <w:rsid w:val="007D4A84"/>
    <w:rsid w:val="007D70E3"/>
    <w:rsid w:val="007E470C"/>
    <w:rsid w:val="007E49E7"/>
    <w:rsid w:val="007E6444"/>
    <w:rsid w:val="007F19CD"/>
    <w:rsid w:val="007F1FCE"/>
    <w:rsid w:val="007F6795"/>
    <w:rsid w:val="007F6AF1"/>
    <w:rsid w:val="00801304"/>
    <w:rsid w:val="008028FE"/>
    <w:rsid w:val="008040ED"/>
    <w:rsid w:val="00810A8E"/>
    <w:rsid w:val="00811834"/>
    <w:rsid w:val="008149F2"/>
    <w:rsid w:val="008220C0"/>
    <w:rsid w:val="008414AD"/>
    <w:rsid w:val="008477C2"/>
    <w:rsid w:val="00847A88"/>
    <w:rsid w:val="0085235C"/>
    <w:rsid w:val="0085566E"/>
    <w:rsid w:val="00855A59"/>
    <w:rsid w:val="00856EA2"/>
    <w:rsid w:val="00857D07"/>
    <w:rsid w:val="008600A1"/>
    <w:rsid w:val="0086048D"/>
    <w:rsid w:val="00861795"/>
    <w:rsid w:val="008668AA"/>
    <w:rsid w:val="00874353"/>
    <w:rsid w:val="0087669F"/>
    <w:rsid w:val="00876FE3"/>
    <w:rsid w:val="00883E76"/>
    <w:rsid w:val="00886A81"/>
    <w:rsid w:val="00895597"/>
    <w:rsid w:val="008A2FF3"/>
    <w:rsid w:val="008B04C8"/>
    <w:rsid w:val="008B5FB5"/>
    <w:rsid w:val="008B7D74"/>
    <w:rsid w:val="008C2ECD"/>
    <w:rsid w:val="008C610C"/>
    <w:rsid w:val="008D4C8B"/>
    <w:rsid w:val="008D7AB3"/>
    <w:rsid w:val="008E1B5E"/>
    <w:rsid w:val="008E3ED5"/>
    <w:rsid w:val="008E6C02"/>
    <w:rsid w:val="008F49C2"/>
    <w:rsid w:val="008F599B"/>
    <w:rsid w:val="00900026"/>
    <w:rsid w:val="00901807"/>
    <w:rsid w:val="00903609"/>
    <w:rsid w:val="009123E7"/>
    <w:rsid w:val="00920588"/>
    <w:rsid w:val="0092238A"/>
    <w:rsid w:val="00923429"/>
    <w:rsid w:val="00937EE5"/>
    <w:rsid w:val="00940A5F"/>
    <w:rsid w:val="00944925"/>
    <w:rsid w:val="00946998"/>
    <w:rsid w:val="00950077"/>
    <w:rsid w:val="00952D08"/>
    <w:rsid w:val="009565C3"/>
    <w:rsid w:val="00970771"/>
    <w:rsid w:val="00972A86"/>
    <w:rsid w:val="00973DF2"/>
    <w:rsid w:val="00974F8F"/>
    <w:rsid w:val="00980688"/>
    <w:rsid w:val="00985265"/>
    <w:rsid w:val="00985806"/>
    <w:rsid w:val="00985C75"/>
    <w:rsid w:val="009A031F"/>
    <w:rsid w:val="009A3637"/>
    <w:rsid w:val="009B294A"/>
    <w:rsid w:val="009B340F"/>
    <w:rsid w:val="009B39DB"/>
    <w:rsid w:val="009B6A36"/>
    <w:rsid w:val="009C17FF"/>
    <w:rsid w:val="009C1E0F"/>
    <w:rsid w:val="009C73E2"/>
    <w:rsid w:val="009D20AE"/>
    <w:rsid w:val="009D2F1B"/>
    <w:rsid w:val="009D63ED"/>
    <w:rsid w:val="009D7B6E"/>
    <w:rsid w:val="009E28A7"/>
    <w:rsid w:val="009E4BED"/>
    <w:rsid w:val="009F6B16"/>
    <w:rsid w:val="009F7707"/>
    <w:rsid w:val="00A032CC"/>
    <w:rsid w:val="00A11DD6"/>
    <w:rsid w:val="00A1376D"/>
    <w:rsid w:val="00A1669D"/>
    <w:rsid w:val="00A17D1A"/>
    <w:rsid w:val="00A30782"/>
    <w:rsid w:val="00A32912"/>
    <w:rsid w:val="00A33518"/>
    <w:rsid w:val="00A41B1C"/>
    <w:rsid w:val="00A438C1"/>
    <w:rsid w:val="00A50EFF"/>
    <w:rsid w:val="00A53CFF"/>
    <w:rsid w:val="00A54402"/>
    <w:rsid w:val="00A6074F"/>
    <w:rsid w:val="00A61C9B"/>
    <w:rsid w:val="00A66D9A"/>
    <w:rsid w:val="00A80760"/>
    <w:rsid w:val="00A86168"/>
    <w:rsid w:val="00A9189C"/>
    <w:rsid w:val="00A9496A"/>
    <w:rsid w:val="00A94B69"/>
    <w:rsid w:val="00A97DD3"/>
    <w:rsid w:val="00AA1B71"/>
    <w:rsid w:val="00AA6B7C"/>
    <w:rsid w:val="00AB0F7B"/>
    <w:rsid w:val="00AB15A8"/>
    <w:rsid w:val="00AC0411"/>
    <w:rsid w:val="00AC5C3F"/>
    <w:rsid w:val="00AC5CB9"/>
    <w:rsid w:val="00AC7CE3"/>
    <w:rsid w:val="00AC7ECA"/>
    <w:rsid w:val="00AD26E3"/>
    <w:rsid w:val="00AF1D27"/>
    <w:rsid w:val="00AF20A3"/>
    <w:rsid w:val="00AF6608"/>
    <w:rsid w:val="00B00B15"/>
    <w:rsid w:val="00B06A29"/>
    <w:rsid w:val="00B07476"/>
    <w:rsid w:val="00B21D5E"/>
    <w:rsid w:val="00B239D4"/>
    <w:rsid w:val="00B24812"/>
    <w:rsid w:val="00B2794F"/>
    <w:rsid w:val="00B425A0"/>
    <w:rsid w:val="00B47122"/>
    <w:rsid w:val="00B55D70"/>
    <w:rsid w:val="00B64794"/>
    <w:rsid w:val="00B67FD2"/>
    <w:rsid w:val="00B748F2"/>
    <w:rsid w:val="00B80ED6"/>
    <w:rsid w:val="00B85C54"/>
    <w:rsid w:val="00B9149E"/>
    <w:rsid w:val="00B91E55"/>
    <w:rsid w:val="00B978D1"/>
    <w:rsid w:val="00B97C38"/>
    <w:rsid w:val="00B97F12"/>
    <w:rsid w:val="00BA09EB"/>
    <w:rsid w:val="00BA19B2"/>
    <w:rsid w:val="00BA511A"/>
    <w:rsid w:val="00BA6602"/>
    <w:rsid w:val="00BB4FBE"/>
    <w:rsid w:val="00BB5430"/>
    <w:rsid w:val="00BB5759"/>
    <w:rsid w:val="00BC2585"/>
    <w:rsid w:val="00BC505F"/>
    <w:rsid w:val="00BC643A"/>
    <w:rsid w:val="00BC7FF8"/>
    <w:rsid w:val="00BD05A5"/>
    <w:rsid w:val="00BD5D2D"/>
    <w:rsid w:val="00BD6934"/>
    <w:rsid w:val="00BF015B"/>
    <w:rsid w:val="00BF74E1"/>
    <w:rsid w:val="00C00279"/>
    <w:rsid w:val="00C00719"/>
    <w:rsid w:val="00C04D0E"/>
    <w:rsid w:val="00C10F53"/>
    <w:rsid w:val="00C12B7E"/>
    <w:rsid w:val="00C20757"/>
    <w:rsid w:val="00C22772"/>
    <w:rsid w:val="00C3215B"/>
    <w:rsid w:val="00C323B6"/>
    <w:rsid w:val="00C32BFF"/>
    <w:rsid w:val="00C43108"/>
    <w:rsid w:val="00C44D2E"/>
    <w:rsid w:val="00C47ED1"/>
    <w:rsid w:val="00C645E2"/>
    <w:rsid w:val="00C65B2F"/>
    <w:rsid w:val="00C66322"/>
    <w:rsid w:val="00C67451"/>
    <w:rsid w:val="00C67D79"/>
    <w:rsid w:val="00C71EB0"/>
    <w:rsid w:val="00C74204"/>
    <w:rsid w:val="00C76911"/>
    <w:rsid w:val="00C77E9C"/>
    <w:rsid w:val="00C8167B"/>
    <w:rsid w:val="00C85CEB"/>
    <w:rsid w:val="00C87AC0"/>
    <w:rsid w:val="00C934DF"/>
    <w:rsid w:val="00CB072A"/>
    <w:rsid w:val="00CB4EEA"/>
    <w:rsid w:val="00CC28D1"/>
    <w:rsid w:val="00CC74E8"/>
    <w:rsid w:val="00CE1AC0"/>
    <w:rsid w:val="00CE437B"/>
    <w:rsid w:val="00CE6AF7"/>
    <w:rsid w:val="00CF0B3D"/>
    <w:rsid w:val="00CF0E10"/>
    <w:rsid w:val="00D0194C"/>
    <w:rsid w:val="00D14BCA"/>
    <w:rsid w:val="00D14F23"/>
    <w:rsid w:val="00D1601B"/>
    <w:rsid w:val="00D25F8C"/>
    <w:rsid w:val="00D27FAF"/>
    <w:rsid w:val="00D27FFE"/>
    <w:rsid w:val="00D31294"/>
    <w:rsid w:val="00D34ECF"/>
    <w:rsid w:val="00D35EC4"/>
    <w:rsid w:val="00D40CD9"/>
    <w:rsid w:val="00D42123"/>
    <w:rsid w:val="00D4338D"/>
    <w:rsid w:val="00D4465E"/>
    <w:rsid w:val="00D4481F"/>
    <w:rsid w:val="00D453F9"/>
    <w:rsid w:val="00D46090"/>
    <w:rsid w:val="00D52277"/>
    <w:rsid w:val="00D55235"/>
    <w:rsid w:val="00D61455"/>
    <w:rsid w:val="00D6172B"/>
    <w:rsid w:val="00D66B2B"/>
    <w:rsid w:val="00D73D5C"/>
    <w:rsid w:val="00D76E3A"/>
    <w:rsid w:val="00D81E7C"/>
    <w:rsid w:val="00D9615F"/>
    <w:rsid w:val="00D97A77"/>
    <w:rsid w:val="00DA3243"/>
    <w:rsid w:val="00DA3B68"/>
    <w:rsid w:val="00DA7102"/>
    <w:rsid w:val="00DA77EE"/>
    <w:rsid w:val="00DA78FE"/>
    <w:rsid w:val="00DB12BF"/>
    <w:rsid w:val="00DB591A"/>
    <w:rsid w:val="00DB6F51"/>
    <w:rsid w:val="00DC0A70"/>
    <w:rsid w:val="00DC1A3C"/>
    <w:rsid w:val="00DC28F9"/>
    <w:rsid w:val="00DC5068"/>
    <w:rsid w:val="00DD3425"/>
    <w:rsid w:val="00DD74D1"/>
    <w:rsid w:val="00DE2A58"/>
    <w:rsid w:val="00DF11F4"/>
    <w:rsid w:val="00DF2C4E"/>
    <w:rsid w:val="00DF2DFD"/>
    <w:rsid w:val="00DF3023"/>
    <w:rsid w:val="00DF34A0"/>
    <w:rsid w:val="00DF6B04"/>
    <w:rsid w:val="00DF7424"/>
    <w:rsid w:val="00DF7E1A"/>
    <w:rsid w:val="00E12D42"/>
    <w:rsid w:val="00E13C31"/>
    <w:rsid w:val="00E309E9"/>
    <w:rsid w:val="00E33421"/>
    <w:rsid w:val="00E3559C"/>
    <w:rsid w:val="00E41230"/>
    <w:rsid w:val="00E41C4D"/>
    <w:rsid w:val="00E45892"/>
    <w:rsid w:val="00E52F3C"/>
    <w:rsid w:val="00E81514"/>
    <w:rsid w:val="00E81849"/>
    <w:rsid w:val="00E875D9"/>
    <w:rsid w:val="00E91591"/>
    <w:rsid w:val="00E94FDB"/>
    <w:rsid w:val="00EA2DCD"/>
    <w:rsid w:val="00EA4CE7"/>
    <w:rsid w:val="00EA5FD0"/>
    <w:rsid w:val="00EA7D14"/>
    <w:rsid w:val="00EB057D"/>
    <w:rsid w:val="00EB43A1"/>
    <w:rsid w:val="00EB5EEB"/>
    <w:rsid w:val="00ED02A3"/>
    <w:rsid w:val="00ED086E"/>
    <w:rsid w:val="00ED5143"/>
    <w:rsid w:val="00EE3DDF"/>
    <w:rsid w:val="00EE6365"/>
    <w:rsid w:val="00EF0AAE"/>
    <w:rsid w:val="00EF44D9"/>
    <w:rsid w:val="00F03370"/>
    <w:rsid w:val="00F06D8C"/>
    <w:rsid w:val="00F107A9"/>
    <w:rsid w:val="00F1359D"/>
    <w:rsid w:val="00F14768"/>
    <w:rsid w:val="00F24CEA"/>
    <w:rsid w:val="00F25BA9"/>
    <w:rsid w:val="00F278C8"/>
    <w:rsid w:val="00F3057F"/>
    <w:rsid w:val="00F306F6"/>
    <w:rsid w:val="00F31EE6"/>
    <w:rsid w:val="00F37DA0"/>
    <w:rsid w:val="00F43D90"/>
    <w:rsid w:val="00F47CE1"/>
    <w:rsid w:val="00F62740"/>
    <w:rsid w:val="00F63AA3"/>
    <w:rsid w:val="00F647FA"/>
    <w:rsid w:val="00F72F83"/>
    <w:rsid w:val="00F77951"/>
    <w:rsid w:val="00F806CB"/>
    <w:rsid w:val="00F821E4"/>
    <w:rsid w:val="00F82A77"/>
    <w:rsid w:val="00F82B02"/>
    <w:rsid w:val="00F878E7"/>
    <w:rsid w:val="00F92282"/>
    <w:rsid w:val="00FA0A47"/>
    <w:rsid w:val="00FA4A85"/>
    <w:rsid w:val="00FB247B"/>
    <w:rsid w:val="00FB475E"/>
    <w:rsid w:val="00FB4E35"/>
    <w:rsid w:val="00FB4FB6"/>
    <w:rsid w:val="00FC194E"/>
    <w:rsid w:val="00FC2DE4"/>
    <w:rsid w:val="00FC3434"/>
    <w:rsid w:val="00FC34E2"/>
    <w:rsid w:val="00FC3DEF"/>
    <w:rsid w:val="00FC4865"/>
    <w:rsid w:val="00FC7116"/>
    <w:rsid w:val="00FC73CB"/>
    <w:rsid w:val="00FD0652"/>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lang/>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paragraph" w:customStyle="1" w:styleId="Texto">
    <w:name w:val="Texto"/>
    <w:basedOn w:val="Normal"/>
    <w:link w:val="TextoCar"/>
    <w:rsid w:val="00D61455"/>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D61455"/>
    <w:rPr>
      <w:rFonts w:ascii="Arial" w:eastAsia="Times New Roman" w:hAnsi="Arial" w:cs="Arial"/>
      <w:sz w:val="18"/>
      <w:lang w:val="es-ES" w:eastAsia="es-ES"/>
    </w:rPr>
  </w:style>
  <w:style w:type="paragraph" w:styleId="Textonotapie">
    <w:name w:val="footnote text"/>
    <w:basedOn w:val="Normal"/>
    <w:link w:val="TextonotapieCar"/>
    <w:rsid w:val="00D61455"/>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D61455"/>
    <w:rPr>
      <w:rFonts w:ascii="Verdana" w:eastAsia="Times New Roman" w:hAnsi="Verdana"/>
      <w:lang w:val="es-ES"/>
    </w:rPr>
  </w:style>
  <w:style w:type="character" w:styleId="Refdenotaalpie">
    <w:name w:val="footnote reference"/>
    <w:rsid w:val="00D61455"/>
    <w:rPr>
      <w:vertAlign w:val="superscript"/>
    </w:rPr>
  </w:style>
</w:styles>
</file>

<file path=word/webSettings.xml><?xml version="1.0" encoding="utf-8"?>
<w:webSettings xmlns:r="http://schemas.openxmlformats.org/officeDocument/2006/relationships" xmlns:w="http://schemas.openxmlformats.org/wordprocessingml/2006/main">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21514730">
      <w:bodyDiv w:val="1"/>
      <w:marLeft w:val="0"/>
      <w:marRight w:val="0"/>
      <w:marTop w:val="0"/>
      <w:marBottom w:val="0"/>
      <w:divBdr>
        <w:top w:val="none" w:sz="0" w:space="0" w:color="auto"/>
        <w:left w:val="none" w:sz="0" w:space="0" w:color="auto"/>
        <w:bottom w:val="none" w:sz="0" w:space="0" w:color="auto"/>
        <w:right w:val="none" w:sz="0" w:space="0" w:color="auto"/>
      </w:divBdr>
    </w:div>
    <w:div w:id="32116192">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58943234">
      <w:bodyDiv w:val="1"/>
      <w:marLeft w:val="0"/>
      <w:marRight w:val="0"/>
      <w:marTop w:val="0"/>
      <w:marBottom w:val="0"/>
      <w:divBdr>
        <w:top w:val="none" w:sz="0" w:space="0" w:color="auto"/>
        <w:left w:val="none" w:sz="0" w:space="0" w:color="auto"/>
        <w:bottom w:val="none" w:sz="0" w:space="0" w:color="auto"/>
        <w:right w:val="none" w:sz="0" w:space="0" w:color="auto"/>
      </w:divBdr>
    </w:div>
    <w:div w:id="82461701">
      <w:bodyDiv w:val="1"/>
      <w:marLeft w:val="0"/>
      <w:marRight w:val="0"/>
      <w:marTop w:val="0"/>
      <w:marBottom w:val="0"/>
      <w:divBdr>
        <w:top w:val="none" w:sz="0" w:space="0" w:color="auto"/>
        <w:left w:val="none" w:sz="0" w:space="0" w:color="auto"/>
        <w:bottom w:val="none" w:sz="0" w:space="0" w:color="auto"/>
        <w:right w:val="none" w:sz="0" w:space="0" w:color="auto"/>
      </w:divBdr>
    </w:div>
    <w:div w:id="84769986">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97676796">
      <w:bodyDiv w:val="1"/>
      <w:marLeft w:val="0"/>
      <w:marRight w:val="0"/>
      <w:marTop w:val="0"/>
      <w:marBottom w:val="0"/>
      <w:divBdr>
        <w:top w:val="none" w:sz="0" w:space="0" w:color="auto"/>
        <w:left w:val="none" w:sz="0" w:space="0" w:color="auto"/>
        <w:bottom w:val="none" w:sz="0" w:space="0" w:color="auto"/>
        <w:right w:val="none" w:sz="0" w:space="0" w:color="auto"/>
      </w:divBdr>
    </w:div>
    <w:div w:id="110395249">
      <w:bodyDiv w:val="1"/>
      <w:marLeft w:val="0"/>
      <w:marRight w:val="0"/>
      <w:marTop w:val="0"/>
      <w:marBottom w:val="0"/>
      <w:divBdr>
        <w:top w:val="none" w:sz="0" w:space="0" w:color="auto"/>
        <w:left w:val="none" w:sz="0" w:space="0" w:color="auto"/>
        <w:bottom w:val="none" w:sz="0" w:space="0" w:color="auto"/>
        <w:right w:val="none" w:sz="0" w:space="0" w:color="auto"/>
      </w:divBdr>
    </w:div>
    <w:div w:id="113133021">
      <w:bodyDiv w:val="1"/>
      <w:marLeft w:val="0"/>
      <w:marRight w:val="0"/>
      <w:marTop w:val="0"/>
      <w:marBottom w:val="0"/>
      <w:divBdr>
        <w:top w:val="none" w:sz="0" w:space="0" w:color="auto"/>
        <w:left w:val="none" w:sz="0" w:space="0" w:color="auto"/>
        <w:bottom w:val="none" w:sz="0" w:space="0" w:color="auto"/>
        <w:right w:val="none" w:sz="0" w:space="0" w:color="auto"/>
      </w:divBdr>
    </w:div>
    <w:div w:id="115609365">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81087275">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3247651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42957522">
      <w:bodyDiv w:val="1"/>
      <w:marLeft w:val="0"/>
      <w:marRight w:val="0"/>
      <w:marTop w:val="0"/>
      <w:marBottom w:val="0"/>
      <w:divBdr>
        <w:top w:val="none" w:sz="0" w:space="0" w:color="auto"/>
        <w:left w:val="none" w:sz="0" w:space="0" w:color="auto"/>
        <w:bottom w:val="none" w:sz="0" w:space="0" w:color="auto"/>
        <w:right w:val="none" w:sz="0" w:space="0" w:color="auto"/>
      </w:divBdr>
    </w:div>
    <w:div w:id="243497246">
      <w:bodyDiv w:val="1"/>
      <w:marLeft w:val="0"/>
      <w:marRight w:val="0"/>
      <w:marTop w:val="0"/>
      <w:marBottom w:val="0"/>
      <w:divBdr>
        <w:top w:val="none" w:sz="0" w:space="0" w:color="auto"/>
        <w:left w:val="none" w:sz="0" w:space="0" w:color="auto"/>
        <w:bottom w:val="none" w:sz="0" w:space="0" w:color="auto"/>
        <w:right w:val="none" w:sz="0" w:space="0" w:color="auto"/>
      </w:divBdr>
    </w:div>
    <w:div w:id="250824140">
      <w:bodyDiv w:val="1"/>
      <w:marLeft w:val="0"/>
      <w:marRight w:val="0"/>
      <w:marTop w:val="0"/>
      <w:marBottom w:val="0"/>
      <w:divBdr>
        <w:top w:val="none" w:sz="0" w:space="0" w:color="auto"/>
        <w:left w:val="none" w:sz="0" w:space="0" w:color="auto"/>
        <w:bottom w:val="none" w:sz="0" w:space="0" w:color="auto"/>
        <w:right w:val="none" w:sz="0" w:space="0" w:color="auto"/>
      </w:divBdr>
    </w:div>
    <w:div w:id="257373118">
      <w:bodyDiv w:val="1"/>
      <w:marLeft w:val="0"/>
      <w:marRight w:val="0"/>
      <w:marTop w:val="0"/>
      <w:marBottom w:val="0"/>
      <w:divBdr>
        <w:top w:val="none" w:sz="0" w:space="0" w:color="auto"/>
        <w:left w:val="none" w:sz="0" w:space="0" w:color="auto"/>
        <w:bottom w:val="none" w:sz="0" w:space="0" w:color="auto"/>
        <w:right w:val="none" w:sz="0" w:space="0" w:color="auto"/>
      </w:divBdr>
    </w:div>
    <w:div w:id="268701304">
      <w:bodyDiv w:val="1"/>
      <w:marLeft w:val="0"/>
      <w:marRight w:val="0"/>
      <w:marTop w:val="0"/>
      <w:marBottom w:val="0"/>
      <w:divBdr>
        <w:top w:val="none" w:sz="0" w:space="0" w:color="auto"/>
        <w:left w:val="none" w:sz="0" w:space="0" w:color="auto"/>
        <w:bottom w:val="none" w:sz="0" w:space="0" w:color="auto"/>
        <w:right w:val="none" w:sz="0" w:space="0" w:color="auto"/>
      </w:divBdr>
    </w:div>
    <w:div w:id="273562125">
      <w:bodyDiv w:val="1"/>
      <w:marLeft w:val="0"/>
      <w:marRight w:val="0"/>
      <w:marTop w:val="0"/>
      <w:marBottom w:val="0"/>
      <w:divBdr>
        <w:top w:val="none" w:sz="0" w:space="0" w:color="auto"/>
        <w:left w:val="none" w:sz="0" w:space="0" w:color="auto"/>
        <w:bottom w:val="none" w:sz="0" w:space="0" w:color="auto"/>
        <w:right w:val="none" w:sz="0" w:space="0" w:color="auto"/>
      </w:divBdr>
    </w:div>
    <w:div w:id="290063653">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294218221">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08943351">
      <w:bodyDiv w:val="1"/>
      <w:marLeft w:val="0"/>
      <w:marRight w:val="0"/>
      <w:marTop w:val="0"/>
      <w:marBottom w:val="0"/>
      <w:divBdr>
        <w:top w:val="none" w:sz="0" w:space="0" w:color="auto"/>
        <w:left w:val="none" w:sz="0" w:space="0" w:color="auto"/>
        <w:bottom w:val="none" w:sz="0" w:space="0" w:color="auto"/>
        <w:right w:val="none" w:sz="0" w:space="0" w:color="auto"/>
      </w:divBdr>
    </w:div>
    <w:div w:id="316766370">
      <w:bodyDiv w:val="1"/>
      <w:marLeft w:val="0"/>
      <w:marRight w:val="0"/>
      <w:marTop w:val="0"/>
      <w:marBottom w:val="0"/>
      <w:divBdr>
        <w:top w:val="none" w:sz="0" w:space="0" w:color="auto"/>
        <w:left w:val="none" w:sz="0" w:space="0" w:color="auto"/>
        <w:bottom w:val="none" w:sz="0" w:space="0" w:color="auto"/>
        <w:right w:val="none" w:sz="0" w:space="0" w:color="auto"/>
      </w:divBdr>
    </w:div>
    <w:div w:id="340667130">
      <w:bodyDiv w:val="1"/>
      <w:marLeft w:val="0"/>
      <w:marRight w:val="0"/>
      <w:marTop w:val="0"/>
      <w:marBottom w:val="0"/>
      <w:divBdr>
        <w:top w:val="none" w:sz="0" w:space="0" w:color="auto"/>
        <w:left w:val="none" w:sz="0" w:space="0" w:color="auto"/>
        <w:bottom w:val="none" w:sz="0" w:space="0" w:color="auto"/>
        <w:right w:val="none" w:sz="0" w:space="0" w:color="auto"/>
      </w:divBdr>
    </w:div>
    <w:div w:id="347633902">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78550976">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404453256">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4617170">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27821248">
      <w:bodyDiv w:val="1"/>
      <w:marLeft w:val="0"/>
      <w:marRight w:val="0"/>
      <w:marTop w:val="0"/>
      <w:marBottom w:val="0"/>
      <w:divBdr>
        <w:top w:val="none" w:sz="0" w:space="0" w:color="auto"/>
        <w:left w:val="none" w:sz="0" w:space="0" w:color="auto"/>
        <w:bottom w:val="none" w:sz="0" w:space="0" w:color="auto"/>
        <w:right w:val="none" w:sz="0" w:space="0" w:color="auto"/>
      </w:divBdr>
    </w:div>
    <w:div w:id="440993949">
      <w:bodyDiv w:val="1"/>
      <w:marLeft w:val="0"/>
      <w:marRight w:val="0"/>
      <w:marTop w:val="0"/>
      <w:marBottom w:val="0"/>
      <w:divBdr>
        <w:top w:val="none" w:sz="0" w:space="0" w:color="auto"/>
        <w:left w:val="none" w:sz="0" w:space="0" w:color="auto"/>
        <w:bottom w:val="none" w:sz="0" w:space="0" w:color="auto"/>
        <w:right w:val="none" w:sz="0" w:space="0" w:color="auto"/>
      </w:divBdr>
    </w:div>
    <w:div w:id="446974391">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185139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6094867">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375956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56817623">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334873">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94293069">
      <w:bodyDiv w:val="1"/>
      <w:marLeft w:val="0"/>
      <w:marRight w:val="0"/>
      <w:marTop w:val="0"/>
      <w:marBottom w:val="0"/>
      <w:divBdr>
        <w:top w:val="none" w:sz="0" w:space="0" w:color="auto"/>
        <w:left w:val="none" w:sz="0" w:space="0" w:color="auto"/>
        <w:bottom w:val="none" w:sz="0" w:space="0" w:color="auto"/>
        <w:right w:val="none" w:sz="0" w:space="0" w:color="auto"/>
      </w:divBdr>
    </w:div>
    <w:div w:id="596864634">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9113499">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9818170">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77023682">
      <w:bodyDiv w:val="1"/>
      <w:marLeft w:val="0"/>
      <w:marRight w:val="0"/>
      <w:marTop w:val="0"/>
      <w:marBottom w:val="0"/>
      <w:divBdr>
        <w:top w:val="none" w:sz="0" w:space="0" w:color="auto"/>
        <w:left w:val="none" w:sz="0" w:space="0" w:color="auto"/>
        <w:bottom w:val="none" w:sz="0" w:space="0" w:color="auto"/>
        <w:right w:val="none" w:sz="0" w:space="0" w:color="auto"/>
      </w:divBdr>
    </w:div>
    <w:div w:id="798915853">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50683906">
      <w:bodyDiv w:val="1"/>
      <w:marLeft w:val="0"/>
      <w:marRight w:val="0"/>
      <w:marTop w:val="0"/>
      <w:marBottom w:val="0"/>
      <w:divBdr>
        <w:top w:val="none" w:sz="0" w:space="0" w:color="auto"/>
        <w:left w:val="none" w:sz="0" w:space="0" w:color="auto"/>
        <w:bottom w:val="none" w:sz="0" w:space="0" w:color="auto"/>
        <w:right w:val="none" w:sz="0" w:space="0" w:color="auto"/>
      </w:divBdr>
    </w:div>
    <w:div w:id="869225477">
      <w:bodyDiv w:val="1"/>
      <w:marLeft w:val="0"/>
      <w:marRight w:val="0"/>
      <w:marTop w:val="0"/>
      <w:marBottom w:val="0"/>
      <w:divBdr>
        <w:top w:val="none" w:sz="0" w:space="0" w:color="auto"/>
        <w:left w:val="none" w:sz="0" w:space="0" w:color="auto"/>
        <w:bottom w:val="none" w:sz="0" w:space="0" w:color="auto"/>
        <w:right w:val="none" w:sz="0" w:space="0" w:color="auto"/>
      </w:divBdr>
    </w:div>
    <w:div w:id="882405716">
      <w:bodyDiv w:val="1"/>
      <w:marLeft w:val="0"/>
      <w:marRight w:val="0"/>
      <w:marTop w:val="0"/>
      <w:marBottom w:val="0"/>
      <w:divBdr>
        <w:top w:val="none" w:sz="0" w:space="0" w:color="auto"/>
        <w:left w:val="none" w:sz="0" w:space="0" w:color="auto"/>
        <w:bottom w:val="none" w:sz="0" w:space="0" w:color="auto"/>
        <w:right w:val="none" w:sz="0" w:space="0" w:color="auto"/>
      </w:divBdr>
    </w:div>
    <w:div w:id="891885027">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06838892">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6671694">
      <w:bodyDiv w:val="1"/>
      <w:marLeft w:val="0"/>
      <w:marRight w:val="0"/>
      <w:marTop w:val="0"/>
      <w:marBottom w:val="0"/>
      <w:divBdr>
        <w:top w:val="none" w:sz="0" w:space="0" w:color="auto"/>
        <w:left w:val="none" w:sz="0" w:space="0" w:color="auto"/>
        <w:bottom w:val="none" w:sz="0" w:space="0" w:color="auto"/>
        <w:right w:val="none" w:sz="0" w:space="0" w:color="auto"/>
      </w:divBdr>
    </w:div>
    <w:div w:id="947932141">
      <w:bodyDiv w:val="1"/>
      <w:marLeft w:val="0"/>
      <w:marRight w:val="0"/>
      <w:marTop w:val="0"/>
      <w:marBottom w:val="0"/>
      <w:divBdr>
        <w:top w:val="none" w:sz="0" w:space="0" w:color="auto"/>
        <w:left w:val="none" w:sz="0" w:space="0" w:color="auto"/>
        <w:bottom w:val="none" w:sz="0" w:space="0" w:color="auto"/>
        <w:right w:val="none" w:sz="0" w:space="0" w:color="auto"/>
      </w:divBdr>
    </w:div>
    <w:div w:id="950473712">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90521590">
      <w:bodyDiv w:val="1"/>
      <w:marLeft w:val="0"/>
      <w:marRight w:val="0"/>
      <w:marTop w:val="0"/>
      <w:marBottom w:val="0"/>
      <w:divBdr>
        <w:top w:val="none" w:sz="0" w:space="0" w:color="auto"/>
        <w:left w:val="none" w:sz="0" w:space="0" w:color="auto"/>
        <w:bottom w:val="none" w:sz="0" w:space="0" w:color="auto"/>
        <w:right w:val="none" w:sz="0" w:space="0" w:color="auto"/>
      </w:divBdr>
    </w:div>
    <w:div w:id="1003049415">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3573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01339524">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3156162">
      <w:bodyDiv w:val="1"/>
      <w:marLeft w:val="0"/>
      <w:marRight w:val="0"/>
      <w:marTop w:val="0"/>
      <w:marBottom w:val="0"/>
      <w:divBdr>
        <w:top w:val="none" w:sz="0" w:space="0" w:color="auto"/>
        <w:left w:val="none" w:sz="0" w:space="0" w:color="auto"/>
        <w:bottom w:val="none" w:sz="0" w:space="0" w:color="auto"/>
        <w:right w:val="none" w:sz="0" w:space="0" w:color="auto"/>
      </w:divBdr>
    </w:div>
    <w:div w:id="119492321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3327486">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477852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18280380">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83338320">
      <w:bodyDiv w:val="1"/>
      <w:marLeft w:val="0"/>
      <w:marRight w:val="0"/>
      <w:marTop w:val="0"/>
      <w:marBottom w:val="0"/>
      <w:divBdr>
        <w:top w:val="none" w:sz="0" w:space="0" w:color="auto"/>
        <w:left w:val="none" w:sz="0" w:space="0" w:color="auto"/>
        <w:bottom w:val="none" w:sz="0" w:space="0" w:color="auto"/>
        <w:right w:val="none" w:sz="0" w:space="0" w:color="auto"/>
      </w:divBdr>
    </w:div>
    <w:div w:id="1290436525">
      <w:bodyDiv w:val="1"/>
      <w:marLeft w:val="0"/>
      <w:marRight w:val="0"/>
      <w:marTop w:val="0"/>
      <w:marBottom w:val="0"/>
      <w:divBdr>
        <w:top w:val="none" w:sz="0" w:space="0" w:color="auto"/>
        <w:left w:val="none" w:sz="0" w:space="0" w:color="auto"/>
        <w:bottom w:val="none" w:sz="0" w:space="0" w:color="auto"/>
        <w:right w:val="none" w:sz="0" w:space="0" w:color="auto"/>
      </w:divBdr>
    </w:div>
    <w:div w:id="1294285299">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27513861">
      <w:bodyDiv w:val="1"/>
      <w:marLeft w:val="0"/>
      <w:marRight w:val="0"/>
      <w:marTop w:val="0"/>
      <w:marBottom w:val="0"/>
      <w:divBdr>
        <w:top w:val="none" w:sz="0" w:space="0" w:color="auto"/>
        <w:left w:val="none" w:sz="0" w:space="0" w:color="auto"/>
        <w:bottom w:val="none" w:sz="0" w:space="0" w:color="auto"/>
        <w:right w:val="none" w:sz="0" w:space="0" w:color="auto"/>
      </w:divBdr>
    </w:div>
    <w:div w:id="1337224213">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39772934">
      <w:bodyDiv w:val="1"/>
      <w:marLeft w:val="0"/>
      <w:marRight w:val="0"/>
      <w:marTop w:val="0"/>
      <w:marBottom w:val="0"/>
      <w:divBdr>
        <w:top w:val="none" w:sz="0" w:space="0" w:color="auto"/>
        <w:left w:val="none" w:sz="0" w:space="0" w:color="auto"/>
        <w:bottom w:val="none" w:sz="0" w:space="0" w:color="auto"/>
        <w:right w:val="none" w:sz="0" w:space="0" w:color="auto"/>
      </w:divBdr>
    </w:div>
    <w:div w:id="1348214986">
      <w:bodyDiv w:val="1"/>
      <w:marLeft w:val="0"/>
      <w:marRight w:val="0"/>
      <w:marTop w:val="0"/>
      <w:marBottom w:val="0"/>
      <w:divBdr>
        <w:top w:val="none" w:sz="0" w:space="0" w:color="auto"/>
        <w:left w:val="none" w:sz="0" w:space="0" w:color="auto"/>
        <w:bottom w:val="none" w:sz="0" w:space="0" w:color="auto"/>
        <w:right w:val="none" w:sz="0" w:space="0" w:color="auto"/>
      </w:divBdr>
    </w:div>
    <w:div w:id="1364793753">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574493">
      <w:bodyDiv w:val="1"/>
      <w:marLeft w:val="0"/>
      <w:marRight w:val="0"/>
      <w:marTop w:val="0"/>
      <w:marBottom w:val="0"/>
      <w:divBdr>
        <w:top w:val="none" w:sz="0" w:space="0" w:color="auto"/>
        <w:left w:val="none" w:sz="0" w:space="0" w:color="auto"/>
        <w:bottom w:val="none" w:sz="0" w:space="0" w:color="auto"/>
        <w:right w:val="none" w:sz="0" w:space="0" w:color="auto"/>
      </w:divBdr>
    </w:div>
    <w:div w:id="1397556129">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337500">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5282579">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30613583">
      <w:bodyDiv w:val="1"/>
      <w:marLeft w:val="0"/>
      <w:marRight w:val="0"/>
      <w:marTop w:val="0"/>
      <w:marBottom w:val="0"/>
      <w:divBdr>
        <w:top w:val="none" w:sz="0" w:space="0" w:color="auto"/>
        <w:left w:val="none" w:sz="0" w:space="0" w:color="auto"/>
        <w:bottom w:val="none" w:sz="0" w:space="0" w:color="auto"/>
        <w:right w:val="none" w:sz="0" w:space="0" w:color="auto"/>
      </w:divBdr>
    </w:div>
    <w:div w:id="1451784349">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2291529">
      <w:bodyDiv w:val="1"/>
      <w:marLeft w:val="0"/>
      <w:marRight w:val="0"/>
      <w:marTop w:val="0"/>
      <w:marBottom w:val="0"/>
      <w:divBdr>
        <w:top w:val="none" w:sz="0" w:space="0" w:color="auto"/>
        <w:left w:val="none" w:sz="0" w:space="0" w:color="auto"/>
        <w:bottom w:val="none" w:sz="0" w:space="0" w:color="auto"/>
        <w:right w:val="none" w:sz="0" w:space="0" w:color="auto"/>
      </w:divBdr>
    </w:div>
    <w:div w:id="1481579863">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11023088">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40388688">
      <w:bodyDiv w:val="1"/>
      <w:marLeft w:val="0"/>
      <w:marRight w:val="0"/>
      <w:marTop w:val="0"/>
      <w:marBottom w:val="0"/>
      <w:divBdr>
        <w:top w:val="none" w:sz="0" w:space="0" w:color="auto"/>
        <w:left w:val="none" w:sz="0" w:space="0" w:color="auto"/>
        <w:bottom w:val="none" w:sz="0" w:space="0" w:color="auto"/>
        <w:right w:val="none" w:sz="0" w:space="0" w:color="auto"/>
      </w:divBdr>
    </w:div>
    <w:div w:id="1559515332">
      <w:bodyDiv w:val="1"/>
      <w:marLeft w:val="0"/>
      <w:marRight w:val="0"/>
      <w:marTop w:val="0"/>
      <w:marBottom w:val="0"/>
      <w:divBdr>
        <w:top w:val="none" w:sz="0" w:space="0" w:color="auto"/>
        <w:left w:val="none" w:sz="0" w:space="0" w:color="auto"/>
        <w:bottom w:val="none" w:sz="0" w:space="0" w:color="auto"/>
        <w:right w:val="none" w:sz="0" w:space="0" w:color="auto"/>
      </w:divBdr>
    </w:div>
    <w:div w:id="1579053031">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597978329">
      <w:bodyDiv w:val="1"/>
      <w:marLeft w:val="0"/>
      <w:marRight w:val="0"/>
      <w:marTop w:val="0"/>
      <w:marBottom w:val="0"/>
      <w:divBdr>
        <w:top w:val="none" w:sz="0" w:space="0" w:color="auto"/>
        <w:left w:val="none" w:sz="0" w:space="0" w:color="auto"/>
        <w:bottom w:val="none" w:sz="0" w:space="0" w:color="auto"/>
        <w:right w:val="none" w:sz="0" w:space="0" w:color="auto"/>
      </w:divBdr>
    </w:div>
    <w:div w:id="1617177696">
      <w:bodyDiv w:val="1"/>
      <w:marLeft w:val="0"/>
      <w:marRight w:val="0"/>
      <w:marTop w:val="0"/>
      <w:marBottom w:val="0"/>
      <w:divBdr>
        <w:top w:val="none" w:sz="0" w:space="0" w:color="auto"/>
        <w:left w:val="none" w:sz="0" w:space="0" w:color="auto"/>
        <w:bottom w:val="none" w:sz="0" w:space="0" w:color="auto"/>
        <w:right w:val="none" w:sz="0" w:space="0" w:color="auto"/>
      </w:divBdr>
    </w:div>
    <w:div w:id="1618902530">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77926916">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26640006">
      <w:bodyDiv w:val="1"/>
      <w:marLeft w:val="0"/>
      <w:marRight w:val="0"/>
      <w:marTop w:val="0"/>
      <w:marBottom w:val="0"/>
      <w:divBdr>
        <w:top w:val="none" w:sz="0" w:space="0" w:color="auto"/>
        <w:left w:val="none" w:sz="0" w:space="0" w:color="auto"/>
        <w:bottom w:val="none" w:sz="0" w:space="0" w:color="auto"/>
        <w:right w:val="none" w:sz="0" w:space="0" w:color="auto"/>
      </w:divBdr>
    </w:div>
    <w:div w:id="1732848645">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800881679">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47086069">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4147478">
      <w:bodyDiv w:val="1"/>
      <w:marLeft w:val="0"/>
      <w:marRight w:val="0"/>
      <w:marTop w:val="0"/>
      <w:marBottom w:val="0"/>
      <w:divBdr>
        <w:top w:val="none" w:sz="0" w:space="0" w:color="auto"/>
        <w:left w:val="none" w:sz="0" w:space="0" w:color="auto"/>
        <w:bottom w:val="none" w:sz="0" w:space="0" w:color="auto"/>
        <w:right w:val="none" w:sz="0" w:space="0" w:color="auto"/>
      </w:divBdr>
    </w:div>
    <w:div w:id="1875464508">
      <w:bodyDiv w:val="1"/>
      <w:marLeft w:val="0"/>
      <w:marRight w:val="0"/>
      <w:marTop w:val="0"/>
      <w:marBottom w:val="0"/>
      <w:divBdr>
        <w:top w:val="none" w:sz="0" w:space="0" w:color="auto"/>
        <w:left w:val="none" w:sz="0" w:space="0" w:color="auto"/>
        <w:bottom w:val="none" w:sz="0" w:space="0" w:color="auto"/>
        <w:right w:val="none" w:sz="0" w:space="0" w:color="auto"/>
      </w:divBdr>
    </w:div>
    <w:div w:id="1879588966">
      <w:bodyDiv w:val="1"/>
      <w:marLeft w:val="0"/>
      <w:marRight w:val="0"/>
      <w:marTop w:val="0"/>
      <w:marBottom w:val="0"/>
      <w:divBdr>
        <w:top w:val="none" w:sz="0" w:space="0" w:color="auto"/>
        <w:left w:val="none" w:sz="0" w:space="0" w:color="auto"/>
        <w:bottom w:val="none" w:sz="0" w:space="0" w:color="auto"/>
        <w:right w:val="none" w:sz="0" w:space="0" w:color="auto"/>
      </w:divBdr>
    </w:div>
    <w:div w:id="1894805778">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2791361">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77564367">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69764187">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75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204E6-9082-414E-AC36-41C6F87F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4247</Words>
  <Characters>23361</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27553</CharactersWithSpaces>
  <SharedDoc>false</SharedDoc>
  <HLinks>
    <vt:vector size="6" baseType="variant">
      <vt:variant>
        <vt:i4>3932277</vt:i4>
      </vt:variant>
      <vt:variant>
        <vt:i4>0</vt:i4>
      </vt:variant>
      <vt:variant>
        <vt:i4>0</vt:i4>
      </vt:variant>
      <vt:variant>
        <vt:i4>5</vt:i4>
      </vt:variant>
      <vt:variant>
        <vt:lpwstr>https://es.wikipedia.org/wiki/1905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RICARDO IZCOATL ADAN LOPEZ VALDEZ</cp:lastModifiedBy>
  <cp:revision>16</cp:revision>
  <cp:lastPrinted>2017-07-20T00:49:00Z</cp:lastPrinted>
  <dcterms:created xsi:type="dcterms:W3CDTF">2016-10-30T19:58:00Z</dcterms:created>
  <dcterms:modified xsi:type="dcterms:W3CDTF">2017-07-20T00:49:00Z</dcterms:modified>
</cp:coreProperties>
</file>