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BC2585">
      <w:pPr>
        <w:spacing w:after="0" w:line="240" w:lineRule="auto"/>
        <w:jc w:val="both"/>
      </w:pPr>
    </w:p>
    <w:p w:rsidR="00BC2585" w:rsidRPr="003A4B41" w:rsidRDefault="00BC2585" w:rsidP="00DB591A">
      <w:pPr>
        <w:spacing w:after="0" w:line="240" w:lineRule="auto"/>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3A4B41" w:rsidRPr="003A4B41">
        <w:rPr>
          <w:b/>
        </w:rPr>
        <w:t>Escobedo</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E875D9" w:rsidRPr="00784A74" w:rsidRDefault="00F62740" w:rsidP="00E875D9">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p w:rsidR="00E875D9" w:rsidRPr="00784A74" w:rsidRDefault="00E875D9" w:rsidP="00DC0A70">
      <w:pPr>
        <w:jc w:val="both"/>
      </w:pPr>
    </w:p>
    <w:tbl>
      <w:tblPr>
        <w:tblW w:w="9389" w:type="dxa"/>
        <w:tblInd w:w="51" w:type="dxa"/>
        <w:tblCellMar>
          <w:left w:w="70" w:type="dxa"/>
          <w:right w:w="70" w:type="dxa"/>
        </w:tblCellMar>
        <w:tblLook w:val="04A0"/>
      </w:tblPr>
      <w:tblGrid>
        <w:gridCol w:w="593"/>
        <w:gridCol w:w="1663"/>
        <w:gridCol w:w="3222"/>
        <w:gridCol w:w="1748"/>
        <w:gridCol w:w="2163"/>
      </w:tblGrid>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p>
        </w:tc>
        <w:tc>
          <w:tcPr>
            <w:tcW w:w="1663" w:type="dxa"/>
            <w:tcBorders>
              <w:top w:val="single" w:sz="8" w:space="0" w:color="auto"/>
              <w:left w:val="single" w:sz="8" w:space="0" w:color="auto"/>
              <w:bottom w:val="single" w:sz="8" w:space="0" w:color="auto"/>
              <w:right w:val="single" w:sz="8" w:space="0" w:color="auto"/>
            </w:tcBorders>
            <w:shd w:val="clear" w:color="000000" w:fill="BFBFBF"/>
            <w:hideMark/>
          </w:tcPr>
          <w:p w:rsidR="006908F6" w:rsidRPr="006908F6" w:rsidRDefault="006908F6" w:rsidP="006908F6">
            <w:pPr>
              <w:spacing w:after="0" w:line="240" w:lineRule="auto"/>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BANCO  /  CUENTA</w:t>
            </w:r>
          </w:p>
        </w:tc>
        <w:tc>
          <w:tcPr>
            <w:tcW w:w="3222" w:type="dxa"/>
            <w:tcBorders>
              <w:top w:val="single" w:sz="8" w:space="0" w:color="auto"/>
              <w:left w:val="nil"/>
              <w:bottom w:val="single" w:sz="8" w:space="0" w:color="auto"/>
              <w:right w:val="single" w:sz="8" w:space="0" w:color="auto"/>
            </w:tcBorders>
            <w:shd w:val="clear" w:color="000000" w:fill="BFBFBF"/>
            <w:hideMark/>
          </w:tcPr>
          <w:p w:rsidR="006908F6" w:rsidRPr="006908F6" w:rsidRDefault="006908F6" w:rsidP="006908F6">
            <w:pPr>
              <w:spacing w:after="0" w:line="240" w:lineRule="auto"/>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DESCRIPCION</w:t>
            </w:r>
          </w:p>
        </w:tc>
        <w:tc>
          <w:tcPr>
            <w:tcW w:w="1748" w:type="dxa"/>
            <w:tcBorders>
              <w:top w:val="single" w:sz="8" w:space="0" w:color="auto"/>
              <w:left w:val="nil"/>
              <w:bottom w:val="single" w:sz="8" w:space="0" w:color="auto"/>
              <w:right w:val="single" w:sz="8" w:space="0" w:color="auto"/>
            </w:tcBorders>
            <w:shd w:val="clear" w:color="000000" w:fill="BFBFBF"/>
            <w:hideMark/>
          </w:tcPr>
          <w:p w:rsidR="006908F6" w:rsidRPr="006908F6" w:rsidRDefault="006908F6" w:rsidP="006908F6">
            <w:pPr>
              <w:spacing w:after="0" w:line="240" w:lineRule="auto"/>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IMPORTE</w:t>
            </w:r>
          </w:p>
        </w:tc>
        <w:tc>
          <w:tcPr>
            <w:tcW w:w="2163" w:type="dxa"/>
            <w:tcBorders>
              <w:top w:val="single" w:sz="8" w:space="0" w:color="auto"/>
              <w:left w:val="nil"/>
              <w:bottom w:val="single" w:sz="8" w:space="0" w:color="auto"/>
              <w:right w:val="single" w:sz="8" w:space="0" w:color="auto"/>
            </w:tcBorders>
            <w:shd w:val="clear" w:color="000000" w:fill="BFBFBF"/>
            <w:hideMark/>
          </w:tcPr>
          <w:p w:rsidR="006908F6" w:rsidRPr="006908F6" w:rsidRDefault="006908F6" w:rsidP="006908F6">
            <w:pPr>
              <w:spacing w:after="0" w:line="240" w:lineRule="auto"/>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DISPONIBILIDAD</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1.-</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1111208</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FONDOS FIJOS DE CAJA - EMPLEADOS</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17,350.00</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2.-</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18804660757</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RECURSOS PROPIOS</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27,167.24</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3.-</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18804705246</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HIDROCARBUROS</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1,757,246.99</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4.-</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18804708407</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HIDROCARBUROS</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1,116,697.36</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5.-</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18804708636</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 MINERO</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1,741.67</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360"/>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6.-</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18804981650</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PARTICIPACIONES ENTIDADES FEDERATIVAS O RAMO 28</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1,324,702.74</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7.-</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18804981588</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 DE INFRAESTRUCTURA</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120,797.66</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8.-</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18804981561</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 DE FORTALECIMIENTO</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196,247.09</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9.-</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71307208</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 DE FORTALECIMIENTO</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240,602.24</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242"/>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10.-</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INVERLAT 71306830</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FONDO DE INFRAESTRUCTURA</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72,319.24</w:t>
            </w:r>
          </w:p>
        </w:tc>
        <w:tc>
          <w:tcPr>
            <w:tcW w:w="2163"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360"/>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r w:rsidRPr="006908F6">
              <w:rPr>
                <w:rFonts w:eastAsia="Times New Roman" w:cs="Calibri"/>
                <w:color w:val="000000"/>
                <w:lang w:eastAsia="es-MX"/>
              </w:rPr>
              <w:t>11.-</w:t>
            </w:r>
          </w:p>
        </w:tc>
        <w:tc>
          <w:tcPr>
            <w:tcW w:w="1663" w:type="dxa"/>
            <w:tcBorders>
              <w:top w:val="nil"/>
              <w:left w:val="single" w:sz="8" w:space="0" w:color="auto"/>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1116111</w:t>
            </w:r>
          </w:p>
        </w:tc>
        <w:tc>
          <w:tcPr>
            <w:tcW w:w="3222"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DEPÓSITOS EN GARANTÍA - PRESTADORES DE SERVICIO</w:t>
            </w:r>
          </w:p>
        </w:tc>
        <w:tc>
          <w:tcPr>
            <w:tcW w:w="1748" w:type="dxa"/>
            <w:tcBorders>
              <w:top w:val="nil"/>
              <w:left w:val="nil"/>
              <w:bottom w:val="single" w:sz="8" w:space="0" w:color="auto"/>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46,369.00</w:t>
            </w:r>
          </w:p>
        </w:tc>
        <w:tc>
          <w:tcPr>
            <w:tcW w:w="2163" w:type="dxa"/>
            <w:tcBorders>
              <w:top w:val="nil"/>
              <w:left w:val="nil"/>
              <w:bottom w:val="nil"/>
              <w:right w:val="single" w:sz="8" w:space="0" w:color="auto"/>
            </w:tcBorders>
            <w:shd w:val="clear" w:color="auto" w:fill="auto"/>
            <w:vAlign w:val="center"/>
            <w:hideMark/>
          </w:tcPr>
          <w:p w:rsidR="006908F6" w:rsidRPr="006908F6" w:rsidRDefault="006908F6" w:rsidP="006908F6">
            <w:pPr>
              <w:spacing w:after="0" w:line="240" w:lineRule="auto"/>
              <w:jc w:val="right"/>
              <w:rPr>
                <w:rFonts w:ascii="Arial" w:eastAsia="Times New Roman" w:hAnsi="Arial" w:cs="Arial"/>
                <w:color w:val="000000"/>
                <w:sz w:val="20"/>
                <w:szCs w:val="20"/>
                <w:lang w:eastAsia="es-MX"/>
              </w:rPr>
            </w:pPr>
            <w:r w:rsidRPr="006908F6">
              <w:rPr>
                <w:rFonts w:ascii="Arial" w:eastAsia="Times New Roman" w:hAnsi="Arial" w:cs="Arial"/>
                <w:color w:val="000000"/>
                <w:sz w:val="20"/>
                <w:szCs w:val="20"/>
                <w:lang w:eastAsia="es-MX"/>
              </w:rPr>
              <w:t xml:space="preserve"> A LA VISTA </w:t>
            </w:r>
          </w:p>
        </w:tc>
      </w:tr>
      <w:tr w:rsidR="006908F6" w:rsidRPr="006908F6" w:rsidTr="005A59FF">
        <w:trPr>
          <w:trHeight w:val="145"/>
        </w:trPr>
        <w:tc>
          <w:tcPr>
            <w:tcW w:w="593" w:type="dxa"/>
            <w:tcBorders>
              <w:top w:val="nil"/>
              <w:left w:val="nil"/>
              <w:bottom w:val="nil"/>
              <w:right w:val="nil"/>
            </w:tcBorders>
            <w:shd w:val="clear" w:color="auto" w:fill="auto"/>
            <w:noWrap/>
            <w:hideMark/>
          </w:tcPr>
          <w:p w:rsidR="006908F6" w:rsidRPr="006908F6" w:rsidRDefault="006908F6" w:rsidP="006908F6">
            <w:pPr>
              <w:spacing w:after="0" w:line="240" w:lineRule="auto"/>
              <w:rPr>
                <w:rFonts w:eastAsia="Times New Roman" w:cs="Calibri"/>
                <w:color w:val="000000"/>
                <w:lang w:eastAsia="es-MX"/>
              </w:rPr>
            </w:pPr>
          </w:p>
        </w:tc>
        <w:tc>
          <w:tcPr>
            <w:tcW w:w="4884"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6908F6" w:rsidRPr="006908F6" w:rsidRDefault="006908F6" w:rsidP="006908F6">
            <w:pPr>
              <w:spacing w:after="0" w:line="240" w:lineRule="auto"/>
              <w:jc w:val="center"/>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TOTAL EFECTIVO Y EQUIVALENTES</w:t>
            </w:r>
          </w:p>
        </w:tc>
        <w:tc>
          <w:tcPr>
            <w:tcW w:w="1748" w:type="dxa"/>
            <w:tcBorders>
              <w:top w:val="nil"/>
              <w:left w:val="nil"/>
              <w:bottom w:val="single" w:sz="8" w:space="0" w:color="auto"/>
              <w:right w:val="single" w:sz="8" w:space="0" w:color="auto"/>
            </w:tcBorders>
            <w:shd w:val="clear" w:color="000000" w:fill="BFBFBF"/>
            <w:hideMark/>
          </w:tcPr>
          <w:p w:rsidR="006908F6" w:rsidRPr="006908F6" w:rsidRDefault="006908F6" w:rsidP="006908F6">
            <w:pPr>
              <w:spacing w:after="0" w:line="240" w:lineRule="auto"/>
              <w:jc w:val="right"/>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$4,921,241.23</w:t>
            </w:r>
          </w:p>
        </w:tc>
        <w:tc>
          <w:tcPr>
            <w:tcW w:w="2163" w:type="dxa"/>
            <w:tcBorders>
              <w:top w:val="single" w:sz="8" w:space="0" w:color="auto"/>
              <w:left w:val="nil"/>
              <w:bottom w:val="single" w:sz="8" w:space="0" w:color="auto"/>
              <w:right w:val="single" w:sz="8" w:space="0" w:color="auto"/>
            </w:tcBorders>
            <w:shd w:val="clear" w:color="000000" w:fill="BFBFBF"/>
            <w:hideMark/>
          </w:tcPr>
          <w:p w:rsidR="006908F6" w:rsidRPr="006908F6" w:rsidRDefault="006908F6" w:rsidP="006908F6">
            <w:pPr>
              <w:spacing w:after="0" w:line="240" w:lineRule="auto"/>
              <w:rPr>
                <w:rFonts w:ascii="Arial" w:eastAsia="Times New Roman" w:hAnsi="Arial" w:cs="Arial"/>
                <w:b/>
                <w:bCs/>
                <w:color w:val="000000"/>
                <w:sz w:val="20"/>
                <w:szCs w:val="20"/>
                <w:lang w:eastAsia="es-MX"/>
              </w:rPr>
            </w:pPr>
            <w:r w:rsidRPr="006908F6">
              <w:rPr>
                <w:rFonts w:ascii="Arial" w:eastAsia="Times New Roman" w:hAnsi="Arial" w:cs="Arial"/>
                <w:b/>
                <w:bCs/>
                <w:color w:val="000000"/>
                <w:sz w:val="20"/>
                <w:szCs w:val="20"/>
                <w:lang w:eastAsia="es-MX"/>
              </w:rPr>
              <w:t> </w:t>
            </w:r>
          </w:p>
        </w:tc>
      </w:tr>
    </w:tbl>
    <w:p w:rsidR="007061BF" w:rsidRDefault="007061BF" w:rsidP="005E596B">
      <w:pPr>
        <w:jc w:val="both"/>
        <w:rPr>
          <w:rFonts w:cs="Arial-BoldMT"/>
          <w:b/>
          <w:bCs/>
        </w:rPr>
      </w:pPr>
    </w:p>
    <w:p w:rsidR="007061BF" w:rsidRDefault="007061BF" w:rsidP="005E596B">
      <w:pPr>
        <w:jc w:val="both"/>
        <w:rPr>
          <w:rFonts w:cs="Arial-BoldMT"/>
          <w:b/>
          <w:bCs/>
        </w:rPr>
      </w:pPr>
    </w:p>
    <w:p w:rsidR="005A59FF" w:rsidRDefault="005A59FF" w:rsidP="005E596B">
      <w:pPr>
        <w:jc w:val="both"/>
        <w:rPr>
          <w:rFonts w:cs="Arial-BoldMT"/>
          <w:b/>
          <w:bCs/>
        </w:rPr>
      </w:pPr>
    </w:p>
    <w:p w:rsidR="005A59FF" w:rsidRDefault="005A59FF" w:rsidP="005E596B">
      <w:pPr>
        <w:jc w:val="both"/>
        <w:rPr>
          <w:rFonts w:cs="Arial-BoldMT"/>
          <w:b/>
          <w:bCs/>
        </w:rPr>
      </w:pPr>
    </w:p>
    <w:p w:rsidR="00E875D9" w:rsidRPr="00784A74" w:rsidRDefault="00F62740" w:rsidP="005E596B">
      <w:pPr>
        <w:jc w:val="both"/>
        <w:rPr>
          <w:rFonts w:cs="Arial-BoldMT"/>
          <w:b/>
          <w:bCs/>
        </w:rPr>
      </w:pPr>
      <w:r w:rsidRPr="00784A74">
        <w:rPr>
          <w:rFonts w:cs="Arial-BoldMT"/>
          <w:b/>
          <w:bCs/>
        </w:rPr>
        <w:t xml:space="preserve">DERECHOS A RECIBIR EFECTIVO Y EQUIVALENTES </w:t>
      </w:r>
    </w:p>
    <w:p w:rsidR="003050C4"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p w:rsidR="00E875D9" w:rsidRDefault="00E875D9" w:rsidP="003050C4">
      <w:pPr>
        <w:jc w:val="both"/>
      </w:pPr>
    </w:p>
    <w:tbl>
      <w:tblPr>
        <w:tblW w:w="8946" w:type="dxa"/>
        <w:tblInd w:w="51" w:type="dxa"/>
        <w:tblCellMar>
          <w:left w:w="70" w:type="dxa"/>
          <w:right w:w="70" w:type="dxa"/>
        </w:tblCellMar>
        <w:tblLook w:val="04A0"/>
      </w:tblPr>
      <w:tblGrid>
        <w:gridCol w:w="7198"/>
        <w:gridCol w:w="1748"/>
      </w:tblGrid>
      <w:tr w:rsidR="003B5936" w:rsidRPr="003B5936" w:rsidTr="003B5936">
        <w:trPr>
          <w:trHeight w:val="224"/>
        </w:trPr>
        <w:tc>
          <w:tcPr>
            <w:tcW w:w="7198" w:type="dxa"/>
            <w:tcBorders>
              <w:top w:val="single" w:sz="8" w:space="0" w:color="auto"/>
              <w:left w:val="single" w:sz="8" w:space="0" w:color="auto"/>
              <w:bottom w:val="nil"/>
              <w:right w:val="nil"/>
            </w:tcBorders>
            <w:shd w:val="clear" w:color="000000" w:fill="BFBFBF"/>
            <w:vAlign w:val="bottom"/>
            <w:hideMark/>
          </w:tcPr>
          <w:p w:rsidR="003B5936" w:rsidRPr="003B5936" w:rsidRDefault="003B5936" w:rsidP="003B5936">
            <w:pPr>
              <w:spacing w:after="0" w:line="240" w:lineRule="auto"/>
              <w:jc w:val="center"/>
              <w:rPr>
                <w:rFonts w:eastAsia="Times New Roman" w:cs="Calibri"/>
                <w:b/>
                <w:bCs/>
                <w:color w:val="000000"/>
                <w:lang w:eastAsia="es-MX"/>
              </w:rPr>
            </w:pPr>
            <w:r w:rsidRPr="003B5936">
              <w:rPr>
                <w:rFonts w:eastAsia="Times New Roman" w:cs="Calibri"/>
                <w:b/>
                <w:bCs/>
                <w:color w:val="000000"/>
                <w:lang w:eastAsia="es-MX"/>
              </w:rPr>
              <w:t>DESCRIPCION DE LA CUENTA</w:t>
            </w:r>
          </w:p>
        </w:tc>
        <w:tc>
          <w:tcPr>
            <w:tcW w:w="1748" w:type="dxa"/>
            <w:tcBorders>
              <w:top w:val="single" w:sz="8" w:space="0" w:color="auto"/>
              <w:left w:val="single" w:sz="8" w:space="0" w:color="auto"/>
              <w:bottom w:val="nil"/>
              <w:right w:val="single" w:sz="8" w:space="0" w:color="auto"/>
            </w:tcBorders>
            <w:shd w:val="clear" w:color="000000" w:fill="BFBFBF"/>
            <w:vAlign w:val="bottom"/>
            <w:hideMark/>
          </w:tcPr>
          <w:p w:rsidR="003B5936" w:rsidRPr="003B5936" w:rsidRDefault="003B5936" w:rsidP="003B5936">
            <w:pPr>
              <w:spacing w:after="0" w:line="240" w:lineRule="auto"/>
              <w:jc w:val="center"/>
              <w:rPr>
                <w:rFonts w:eastAsia="Times New Roman" w:cs="Calibri"/>
                <w:b/>
                <w:bCs/>
                <w:color w:val="000000"/>
                <w:lang w:eastAsia="es-MX"/>
              </w:rPr>
            </w:pPr>
            <w:r w:rsidRPr="003B5936">
              <w:rPr>
                <w:rFonts w:eastAsia="Times New Roman" w:cs="Calibri"/>
                <w:b/>
                <w:bCs/>
                <w:color w:val="000000"/>
                <w:lang w:eastAsia="es-MX"/>
              </w:rPr>
              <w:t>IMPORTE</w:t>
            </w:r>
          </w:p>
        </w:tc>
      </w:tr>
      <w:tr w:rsidR="003B5936" w:rsidRPr="003B5936" w:rsidTr="003B5936">
        <w:trPr>
          <w:trHeight w:val="224"/>
        </w:trPr>
        <w:tc>
          <w:tcPr>
            <w:tcW w:w="7198" w:type="dxa"/>
            <w:tcBorders>
              <w:top w:val="single" w:sz="8" w:space="0" w:color="auto"/>
              <w:left w:val="single" w:sz="8" w:space="0" w:color="auto"/>
              <w:bottom w:val="nil"/>
              <w:right w:val="nil"/>
            </w:tcBorders>
            <w:shd w:val="clear" w:color="auto" w:fill="auto"/>
            <w:hideMark/>
          </w:tcPr>
          <w:p w:rsidR="003B5936" w:rsidRPr="003B5936" w:rsidRDefault="003B5936" w:rsidP="003B5936">
            <w:pPr>
              <w:spacing w:after="0" w:line="240" w:lineRule="auto"/>
              <w:rPr>
                <w:rFonts w:ascii="Arial" w:eastAsia="Times New Roman" w:hAnsi="Arial" w:cs="Arial"/>
                <w:color w:val="000000"/>
                <w:sz w:val="20"/>
                <w:szCs w:val="20"/>
                <w:lang w:eastAsia="es-MX"/>
              </w:rPr>
            </w:pPr>
            <w:r w:rsidRPr="003B5936">
              <w:rPr>
                <w:rFonts w:ascii="Arial" w:eastAsia="Times New Roman" w:hAnsi="Arial" w:cs="Arial"/>
                <w:color w:val="000000"/>
                <w:sz w:val="20"/>
                <w:szCs w:val="20"/>
                <w:lang w:eastAsia="es-MX"/>
              </w:rPr>
              <w:t>GASTOS A COMPROBAR - EMPLEADOS</w:t>
            </w:r>
          </w:p>
        </w:tc>
        <w:tc>
          <w:tcPr>
            <w:tcW w:w="1748" w:type="dxa"/>
            <w:tcBorders>
              <w:top w:val="single" w:sz="8" w:space="0" w:color="auto"/>
              <w:left w:val="single" w:sz="8" w:space="0" w:color="auto"/>
              <w:bottom w:val="nil"/>
              <w:right w:val="single" w:sz="8" w:space="0" w:color="auto"/>
            </w:tcBorders>
            <w:shd w:val="clear" w:color="auto" w:fill="auto"/>
            <w:hideMark/>
          </w:tcPr>
          <w:p w:rsidR="003B5936" w:rsidRPr="003B5936" w:rsidRDefault="003B5936" w:rsidP="003B5936">
            <w:pPr>
              <w:spacing w:after="0" w:line="240" w:lineRule="auto"/>
              <w:jc w:val="right"/>
              <w:rPr>
                <w:rFonts w:ascii="Arial" w:eastAsia="Times New Roman" w:hAnsi="Arial" w:cs="Arial"/>
                <w:color w:val="000000"/>
                <w:sz w:val="20"/>
                <w:szCs w:val="20"/>
                <w:lang w:eastAsia="es-MX"/>
              </w:rPr>
            </w:pPr>
            <w:r w:rsidRPr="003B5936">
              <w:rPr>
                <w:rFonts w:ascii="Arial" w:eastAsia="Times New Roman" w:hAnsi="Arial" w:cs="Arial"/>
                <w:color w:val="000000"/>
                <w:sz w:val="20"/>
                <w:szCs w:val="20"/>
                <w:lang w:eastAsia="es-MX"/>
              </w:rPr>
              <w:t>10,572.00</w:t>
            </w:r>
          </w:p>
        </w:tc>
      </w:tr>
      <w:tr w:rsidR="003B5936" w:rsidRPr="003B5936" w:rsidTr="003B5936">
        <w:trPr>
          <w:trHeight w:val="224"/>
        </w:trPr>
        <w:tc>
          <w:tcPr>
            <w:tcW w:w="7198" w:type="dxa"/>
            <w:tcBorders>
              <w:top w:val="single" w:sz="8" w:space="0" w:color="auto"/>
              <w:left w:val="single" w:sz="8" w:space="0" w:color="auto"/>
              <w:bottom w:val="single" w:sz="8" w:space="0" w:color="auto"/>
              <w:right w:val="nil"/>
            </w:tcBorders>
            <w:shd w:val="clear" w:color="auto" w:fill="auto"/>
            <w:hideMark/>
          </w:tcPr>
          <w:p w:rsidR="003B5936" w:rsidRPr="003B5936" w:rsidRDefault="003B5936" w:rsidP="003B5936">
            <w:pPr>
              <w:spacing w:after="0" w:line="240" w:lineRule="auto"/>
              <w:rPr>
                <w:rFonts w:ascii="Arial" w:eastAsia="Times New Roman" w:hAnsi="Arial" w:cs="Arial"/>
                <w:color w:val="000000"/>
                <w:sz w:val="20"/>
                <w:szCs w:val="20"/>
                <w:lang w:eastAsia="es-MX"/>
              </w:rPr>
            </w:pPr>
            <w:r w:rsidRPr="003B5936">
              <w:rPr>
                <w:rFonts w:ascii="Arial" w:eastAsia="Times New Roman" w:hAnsi="Arial" w:cs="Arial"/>
                <w:color w:val="000000"/>
                <w:sz w:val="20"/>
                <w:szCs w:val="20"/>
                <w:lang w:eastAsia="es-MX"/>
              </w:rPr>
              <w:t>PRÉSTAMOS OTORGADOS A CP AL SECTOR PRIVADO - EMPLEADOS</w:t>
            </w:r>
          </w:p>
        </w:tc>
        <w:tc>
          <w:tcPr>
            <w:tcW w:w="1748" w:type="dxa"/>
            <w:tcBorders>
              <w:top w:val="single" w:sz="8" w:space="0" w:color="auto"/>
              <w:left w:val="single" w:sz="8" w:space="0" w:color="auto"/>
              <w:bottom w:val="single" w:sz="8" w:space="0" w:color="auto"/>
              <w:right w:val="single" w:sz="8" w:space="0" w:color="auto"/>
            </w:tcBorders>
            <w:shd w:val="clear" w:color="auto" w:fill="auto"/>
            <w:hideMark/>
          </w:tcPr>
          <w:p w:rsidR="003B5936" w:rsidRPr="003B5936" w:rsidRDefault="003B5936" w:rsidP="003B5936">
            <w:pPr>
              <w:spacing w:after="0" w:line="240" w:lineRule="auto"/>
              <w:jc w:val="right"/>
              <w:rPr>
                <w:rFonts w:ascii="Arial" w:eastAsia="Times New Roman" w:hAnsi="Arial" w:cs="Arial"/>
                <w:color w:val="000000"/>
                <w:sz w:val="20"/>
                <w:szCs w:val="20"/>
                <w:lang w:eastAsia="es-MX"/>
              </w:rPr>
            </w:pPr>
            <w:r w:rsidRPr="003B5936">
              <w:rPr>
                <w:rFonts w:ascii="Arial" w:eastAsia="Times New Roman" w:hAnsi="Arial" w:cs="Arial"/>
                <w:color w:val="000000"/>
                <w:sz w:val="20"/>
                <w:szCs w:val="20"/>
                <w:lang w:eastAsia="es-MX"/>
              </w:rPr>
              <w:t>141,750.00</w:t>
            </w:r>
          </w:p>
        </w:tc>
      </w:tr>
      <w:tr w:rsidR="003B5936" w:rsidRPr="003B5936" w:rsidTr="003B5936">
        <w:trPr>
          <w:trHeight w:val="262"/>
        </w:trPr>
        <w:tc>
          <w:tcPr>
            <w:tcW w:w="7198" w:type="dxa"/>
            <w:tcBorders>
              <w:top w:val="nil"/>
              <w:left w:val="single" w:sz="8" w:space="0" w:color="auto"/>
              <w:bottom w:val="single" w:sz="8" w:space="0" w:color="auto"/>
              <w:right w:val="nil"/>
            </w:tcBorders>
            <w:shd w:val="clear" w:color="000000" w:fill="BFBFBF"/>
            <w:vAlign w:val="bottom"/>
            <w:hideMark/>
          </w:tcPr>
          <w:p w:rsidR="003B5936" w:rsidRPr="003B5936" w:rsidRDefault="003B5936" w:rsidP="003B5936">
            <w:pPr>
              <w:spacing w:after="0" w:line="240" w:lineRule="auto"/>
              <w:rPr>
                <w:rFonts w:eastAsia="Times New Roman" w:cs="Calibri"/>
                <w:color w:val="000000"/>
                <w:lang w:eastAsia="es-MX"/>
              </w:rPr>
            </w:pPr>
            <w:r w:rsidRPr="003B5936">
              <w:rPr>
                <w:rFonts w:eastAsia="Times New Roman" w:cs="Calibri"/>
                <w:color w:val="000000"/>
                <w:lang w:eastAsia="es-MX"/>
              </w:rPr>
              <w:t xml:space="preserve"> TOTAL DERECHOS A RECIBIR EFECTIVO Y EQUIVALENTES </w:t>
            </w:r>
          </w:p>
        </w:tc>
        <w:tc>
          <w:tcPr>
            <w:tcW w:w="1748" w:type="dxa"/>
            <w:tcBorders>
              <w:top w:val="nil"/>
              <w:left w:val="single" w:sz="8" w:space="0" w:color="auto"/>
              <w:bottom w:val="single" w:sz="8" w:space="0" w:color="auto"/>
              <w:right w:val="single" w:sz="8" w:space="0" w:color="auto"/>
            </w:tcBorders>
            <w:shd w:val="clear" w:color="000000" w:fill="BFBFBF"/>
            <w:vAlign w:val="bottom"/>
            <w:hideMark/>
          </w:tcPr>
          <w:p w:rsidR="003B5936" w:rsidRPr="003B5936" w:rsidRDefault="003B5936" w:rsidP="003B5936">
            <w:pPr>
              <w:spacing w:after="0" w:line="240" w:lineRule="auto"/>
              <w:jc w:val="right"/>
              <w:rPr>
                <w:rFonts w:eastAsia="Times New Roman" w:cs="Calibri"/>
                <w:color w:val="000000"/>
                <w:lang w:eastAsia="es-MX"/>
              </w:rPr>
            </w:pPr>
            <w:r w:rsidRPr="003B5936">
              <w:rPr>
                <w:rFonts w:eastAsia="Times New Roman" w:cs="Calibri"/>
                <w:color w:val="000000"/>
                <w:lang w:eastAsia="es-MX"/>
              </w:rPr>
              <w:t>152,322.00</w:t>
            </w:r>
          </w:p>
        </w:tc>
      </w:tr>
    </w:tbl>
    <w:p w:rsidR="00F72F83" w:rsidRDefault="00F72F83" w:rsidP="003050C4">
      <w:pPr>
        <w:jc w:val="both"/>
      </w:pPr>
    </w:p>
    <w:p w:rsidR="00E91591" w:rsidRDefault="00721474" w:rsidP="00D61455">
      <w:pPr>
        <w:jc w:val="both"/>
        <w:rPr>
          <w:color w:val="000000"/>
        </w:rPr>
      </w:pPr>
      <w:r>
        <w:rPr>
          <w:rFonts w:cs="Arial-BoldMT"/>
          <w:b/>
          <w:bCs/>
        </w:rPr>
        <w:t>ESF-03</w:t>
      </w:r>
      <w:r w:rsidRPr="00490887">
        <w:rPr>
          <w:rFonts w:cs="Arial-BoldMT"/>
          <w:bCs/>
        </w:rPr>
        <w:t>.-</w:t>
      </w:r>
      <w:r w:rsidR="00E91591" w:rsidRPr="00E91591">
        <w:rPr>
          <w:rFonts w:cs="Arial-BoldMT"/>
          <w:bCs/>
        </w:rPr>
        <w:t xml:space="preserve"> </w:t>
      </w:r>
      <w:r w:rsidR="00E91591">
        <w:rPr>
          <w:rFonts w:cs="Arial-BoldMT"/>
          <w:bCs/>
        </w:rPr>
        <w:t>“</w:t>
      </w:r>
      <w:r w:rsidR="00E91591" w:rsidRPr="00047A0D">
        <w:rPr>
          <w:rFonts w:cs="Arial-BoldMT"/>
          <w:bCs/>
        </w:rPr>
        <w:t>Esta nota no es aplicable al ente público debido a que no tuvo</w:t>
      </w:r>
      <w:r w:rsidR="00E91591">
        <w:rPr>
          <w:color w:val="000000"/>
        </w:rPr>
        <w:t xml:space="preserve"> </w:t>
      </w:r>
      <w:r w:rsidR="00E91591" w:rsidRPr="00E91591">
        <w:rPr>
          <w:color w:val="000000"/>
        </w:rPr>
        <w:t>derechos a recibir bienes o servicios</w:t>
      </w:r>
      <w:r w:rsidR="00E91591">
        <w:rPr>
          <w:color w:val="000000"/>
        </w:rPr>
        <w:t>”</w:t>
      </w:r>
    </w:p>
    <w:p w:rsidR="00721474" w:rsidRPr="00047A0D" w:rsidRDefault="00721474" w:rsidP="00D61455">
      <w:pPr>
        <w:jc w:val="both"/>
        <w:rPr>
          <w:b/>
          <w:color w:val="000000"/>
        </w:rPr>
      </w:pPr>
      <w:r w:rsidRPr="00047A0D">
        <w:rPr>
          <w:b/>
          <w:color w:val="000000"/>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E875D9"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w:t>
      </w:r>
      <w:r w:rsidR="00375066">
        <w:rPr>
          <w:rFonts w:ascii="Calibri" w:hAnsi="Calibri"/>
          <w:color w:val="000000"/>
          <w:sz w:val="22"/>
          <w:szCs w:val="22"/>
          <w:lang w:val="es-MX"/>
        </w:rPr>
        <w:t>c</w:t>
      </w:r>
      <w:r w:rsidR="009D20AE">
        <w:rPr>
          <w:rFonts w:ascii="Calibri" w:hAnsi="Calibri"/>
          <w:color w:val="000000"/>
          <w:sz w:val="22"/>
          <w:szCs w:val="22"/>
          <w:lang w:val="es-MX"/>
        </w:rPr>
        <w:t>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3B5936" w:rsidRDefault="003B5936" w:rsidP="009D20AE">
      <w:pPr>
        <w:pStyle w:val="NormalWeb"/>
        <w:jc w:val="both"/>
        <w:rPr>
          <w:rFonts w:ascii="Calibri" w:hAnsi="Calibri"/>
          <w:color w:val="000000"/>
          <w:sz w:val="22"/>
          <w:szCs w:val="22"/>
          <w:lang w:val="es-MX"/>
        </w:rPr>
      </w:pPr>
    </w:p>
    <w:p w:rsidR="00E875D9" w:rsidRPr="00047A0D" w:rsidRDefault="00E875D9" w:rsidP="009D20AE">
      <w:pPr>
        <w:pStyle w:val="NormalWeb"/>
        <w:jc w:val="both"/>
        <w:rPr>
          <w:rFonts w:ascii="Calibri" w:hAnsi="Calibri"/>
          <w:color w:val="000000"/>
          <w:sz w:val="22"/>
          <w:szCs w:val="22"/>
          <w:lang w:val="es-MX"/>
        </w:rPr>
      </w:pPr>
    </w:p>
    <w:p w:rsidR="00BA09EB" w:rsidRPr="00C71EB0" w:rsidRDefault="00F62740" w:rsidP="00BA09EB">
      <w:pPr>
        <w:jc w:val="both"/>
        <w:rPr>
          <w:rFonts w:cs="Arial-BoldMT"/>
          <w:b/>
          <w:bCs/>
        </w:rPr>
      </w:pPr>
      <w:r w:rsidRPr="00C71EB0">
        <w:rPr>
          <w:rFonts w:cs="Arial-BoldMT"/>
          <w:b/>
          <w:bCs/>
        </w:rPr>
        <w:t>BIENES MUEBLES, INMUEBLES E INTANGIBLES</w:t>
      </w:r>
    </w:p>
    <w:p w:rsidR="007061BF" w:rsidRDefault="00A11DD6" w:rsidP="00BA09EB">
      <w:pPr>
        <w:jc w:val="both"/>
      </w:pPr>
      <w:r w:rsidRPr="00C71EB0">
        <w:rPr>
          <w:b/>
        </w:rPr>
        <w:t>ESF 08.-</w:t>
      </w:r>
      <w:r w:rsidRPr="00C71EB0">
        <w:t xml:space="preserve"> </w:t>
      </w:r>
      <w:r w:rsidR="00BA09EB" w:rsidRPr="00C71EB0">
        <w:t>El costo de adquisición de los Activos</w:t>
      </w:r>
      <w:r w:rsidR="00BA09EB" w:rsidRPr="00784A74">
        <w:t xml:space="preserve"> Fijos al 3</w:t>
      </w:r>
      <w:r w:rsidR="003B5936">
        <w:t>1</w:t>
      </w:r>
      <w:r w:rsidR="00BC505F">
        <w:t xml:space="preserve"> de </w:t>
      </w:r>
      <w:r w:rsidR="003B5936">
        <w:t>Marzo</w:t>
      </w:r>
      <w:r w:rsidR="00BA09EB" w:rsidRPr="00784A74">
        <w:t xml:space="preserve"> de 201</w:t>
      </w:r>
      <w:r w:rsidR="003B5936">
        <w:t>7</w:t>
      </w:r>
      <w:r w:rsidR="00BA09EB" w:rsidRPr="00784A74">
        <w:t>, se integra como sigue:</w:t>
      </w:r>
    </w:p>
    <w:p w:rsidR="007061BF" w:rsidRDefault="007061BF" w:rsidP="00BA09EB">
      <w:pPr>
        <w:jc w:val="both"/>
      </w:pPr>
    </w:p>
    <w:p w:rsidR="00BA09EB" w:rsidRPr="00784A74" w:rsidRDefault="00BA09EB" w:rsidP="00BA09EB">
      <w:pPr>
        <w:jc w:val="both"/>
      </w:pPr>
      <w:r w:rsidRPr="00784A74">
        <w:t xml:space="preserve"> </w:t>
      </w:r>
    </w:p>
    <w:tbl>
      <w:tblPr>
        <w:tblW w:w="8379" w:type="dxa"/>
        <w:jc w:val="center"/>
        <w:tblInd w:w="51" w:type="dxa"/>
        <w:tblCellMar>
          <w:left w:w="70" w:type="dxa"/>
          <w:right w:w="70" w:type="dxa"/>
        </w:tblCellMar>
        <w:tblLook w:val="04A0"/>
      </w:tblPr>
      <w:tblGrid>
        <w:gridCol w:w="6474"/>
        <w:gridCol w:w="1905"/>
      </w:tblGrid>
      <w:tr w:rsidR="00A86168" w:rsidRPr="00A86168" w:rsidTr="00A86168">
        <w:trPr>
          <w:trHeight w:val="298"/>
          <w:jc w:val="center"/>
        </w:trPr>
        <w:tc>
          <w:tcPr>
            <w:tcW w:w="647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 xml:space="preserve">DESCRIPCION DE LA CUENTA </w:t>
            </w:r>
          </w:p>
        </w:tc>
        <w:tc>
          <w:tcPr>
            <w:tcW w:w="1905" w:type="dxa"/>
            <w:tcBorders>
              <w:top w:val="single" w:sz="8" w:space="0" w:color="auto"/>
              <w:left w:val="nil"/>
              <w:bottom w:val="single" w:sz="8" w:space="0" w:color="auto"/>
              <w:right w:val="single" w:sz="8" w:space="0" w:color="auto"/>
            </w:tcBorders>
            <w:shd w:val="clear" w:color="000000" w:fill="BFBFBF"/>
            <w:vAlign w:val="center"/>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 xml:space="preserve"> IMPORTE </w:t>
            </w:r>
          </w:p>
        </w:tc>
      </w:tr>
      <w:tr w:rsidR="00A86168" w:rsidRPr="00A86168" w:rsidTr="00A86168">
        <w:trPr>
          <w:trHeight w:val="442"/>
          <w:jc w:val="center"/>
        </w:trPr>
        <w:tc>
          <w:tcPr>
            <w:tcW w:w="6474"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DIVISIÓN DE TERRENOS Y CONSTRUCCIÓN DE OBRAS DE URBANIZACIÓN EN PROCESO</w:t>
            </w:r>
          </w:p>
        </w:tc>
        <w:tc>
          <w:tcPr>
            <w:tcW w:w="1905"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677,231.04</w:t>
            </w:r>
          </w:p>
        </w:tc>
      </w:tr>
      <w:tr w:rsidR="00A86168" w:rsidRPr="00A86168" w:rsidTr="00A86168">
        <w:trPr>
          <w:trHeight w:val="298"/>
          <w:jc w:val="center"/>
        </w:trPr>
        <w:tc>
          <w:tcPr>
            <w:tcW w:w="6474"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 xml:space="preserve">DIVISIÓN DE TERRENOS Y CONSTRUCCIÓN DE OBRAS DE </w:t>
            </w:r>
            <w:r w:rsidRPr="00A86168">
              <w:rPr>
                <w:rFonts w:ascii="Arial" w:eastAsia="Times New Roman" w:hAnsi="Arial" w:cs="Arial"/>
                <w:color w:val="000000"/>
                <w:sz w:val="20"/>
                <w:szCs w:val="20"/>
                <w:lang w:eastAsia="es-MX"/>
              </w:rPr>
              <w:lastRenderedPageBreak/>
              <w:t>URBANIZACIÓN</w:t>
            </w:r>
          </w:p>
        </w:tc>
        <w:tc>
          <w:tcPr>
            <w:tcW w:w="1905"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lastRenderedPageBreak/>
              <w:t>202,826.35</w:t>
            </w:r>
          </w:p>
        </w:tc>
      </w:tr>
      <w:tr w:rsidR="00A86168" w:rsidRPr="00A86168" w:rsidTr="00A86168">
        <w:trPr>
          <w:trHeight w:val="298"/>
          <w:jc w:val="center"/>
        </w:trPr>
        <w:tc>
          <w:tcPr>
            <w:tcW w:w="6474"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lastRenderedPageBreak/>
              <w:t>CONSTRUCCIÓN DE VÍAS DE COMUNICACIÓN EN PROCESO</w:t>
            </w:r>
          </w:p>
        </w:tc>
        <w:tc>
          <w:tcPr>
            <w:tcW w:w="1905"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9,647,012.06</w:t>
            </w:r>
          </w:p>
        </w:tc>
      </w:tr>
      <w:tr w:rsidR="00A86168" w:rsidRPr="00A86168" w:rsidTr="00A86168">
        <w:trPr>
          <w:trHeight w:val="298"/>
          <w:jc w:val="center"/>
        </w:trPr>
        <w:tc>
          <w:tcPr>
            <w:tcW w:w="6474"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EQUIPO DE CÓMPUTO Y DE TECNOLOGÍAS DE LA INFORMACIÓN</w:t>
            </w:r>
          </w:p>
        </w:tc>
        <w:tc>
          <w:tcPr>
            <w:tcW w:w="1905"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5,088.48</w:t>
            </w:r>
          </w:p>
        </w:tc>
      </w:tr>
      <w:tr w:rsidR="00A86168" w:rsidRPr="00A86168" w:rsidTr="00A86168">
        <w:trPr>
          <w:trHeight w:val="298"/>
          <w:jc w:val="center"/>
        </w:trPr>
        <w:tc>
          <w:tcPr>
            <w:tcW w:w="6474"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OTROS MOBILIARIOS Y EQUIPOS DE ADMINISTRACIÓN</w:t>
            </w:r>
          </w:p>
        </w:tc>
        <w:tc>
          <w:tcPr>
            <w:tcW w:w="1905"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3,640.00</w:t>
            </w:r>
          </w:p>
        </w:tc>
      </w:tr>
      <w:tr w:rsidR="00A86168" w:rsidRPr="00A86168" w:rsidTr="00A86168">
        <w:trPr>
          <w:trHeight w:val="442"/>
          <w:jc w:val="center"/>
        </w:trPr>
        <w:tc>
          <w:tcPr>
            <w:tcW w:w="6474" w:type="dxa"/>
            <w:tcBorders>
              <w:top w:val="nil"/>
              <w:left w:val="single" w:sz="8" w:space="0" w:color="auto"/>
              <w:bottom w:val="single" w:sz="8" w:space="0" w:color="auto"/>
              <w:right w:val="single" w:sz="8" w:space="0" w:color="auto"/>
            </w:tcBorders>
            <w:shd w:val="clear" w:color="000000" w:fill="BFBFBF"/>
            <w:vAlign w:val="center"/>
            <w:hideMark/>
          </w:tcPr>
          <w:p w:rsidR="00A86168" w:rsidRPr="00A86168" w:rsidRDefault="00A86168" w:rsidP="00A86168">
            <w:pPr>
              <w:spacing w:after="0" w:line="240" w:lineRule="auto"/>
              <w:rPr>
                <w:rFonts w:eastAsia="Times New Roman" w:cs="Calibri"/>
                <w:b/>
                <w:bCs/>
                <w:color w:val="000000"/>
                <w:lang w:eastAsia="es-MX"/>
              </w:rPr>
            </w:pPr>
            <w:r w:rsidRPr="00A86168">
              <w:rPr>
                <w:rFonts w:eastAsia="Times New Roman" w:cs="Calibri"/>
                <w:b/>
                <w:bCs/>
                <w:color w:val="000000"/>
                <w:lang w:eastAsia="es-MX"/>
              </w:rPr>
              <w:t xml:space="preserve">TOTAL ACTIVO NO CIRCULANTE </w:t>
            </w:r>
          </w:p>
        </w:tc>
        <w:tc>
          <w:tcPr>
            <w:tcW w:w="1905" w:type="dxa"/>
            <w:tcBorders>
              <w:top w:val="nil"/>
              <w:left w:val="nil"/>
              <w:bottom w:val="single" w:sz="8" w:space="0" w:color="auto"/>
              <w:right w:val="single" w:sz="8" w:space="0" w:color="auto"/>
            </w:tcBorders>
            <w:shd w:val="clear" w:color="000000" w:fill="BFBFBF"/>
            <w:vAlign w:val="center"/>
            <w:hideMark/>
          </w:tcPr>
          <w:p w:rsidR="00A86168" w:rsidRPr="00A86168" w:rsidRDefault="00A86168" w:rsidP="00A86168">
            <w:pPr>
              <w:spacing w:after="0" w:line="240" w:lineRule="auto"/>
              <w:jc w:val="right"/>
              <w:rPr>
                <w:rFonts w:eastAsia="Times New Roman" w:cs="Calibri"/>
                <w:b/>
                <w:bCs/>
                <w:color w:val="000000"/>
                <w:lang w:eastAsia="es-MX"/>
              </w:rPr>
            </w:pPr>
            <w:r w:rsidRPr="00A86168">
              <w:rPr>
                <w:rFonts w:eastAsia="Times New Roman" w:cs="Calibri"/>
                <w:b/>
                <w:bCs/>
                <w:color w:val="000000"/>
                <w:lang w:eastAsia="es-MX"/>
              </w:rPr>
              <w:t>10,535,797.93</w:t>
            </w:r>
          </w:p>
        </w:tc>
      </w:tr>
    </w:tbl>
    <w:p w:rsidR="00775367" w:rsidRDefault="00775367" w:rsidP="00775367">
      <w:pPr>
        <w:tabs>
          <w:tab w:val="left" w:pos="3609"/>
        </w:tabs>
        <w:spacing w:after="0" w:line="240" w:lineRule="auto"/>
        <w:jc w:val="both"/>
        <w:rPr>
          <w:b/>
          <w:color w:val="000000"/>
        </w:rPr>
      </w:pPr>
    </w:p>
    <w:p w:rsidR="00E875D9" w:rsidRDefault="00E875D9" w:rsidP="00775367">
      <w:pPr>
        <w:tabs>
          <w:tab w:val="left" w:pos="3609"/>
        </w:tabs>
        <w:spacing w:after="0" w:line="240" w:lineRule="auto"/>
        <w:jc w:val="both"/>
        <w:rPr>
          <w:b/>
          <w:color w:val="000000"/>
        </w:rPr>
      </w:pPr>
    </w:p>
    <w:p w:rsidR="00E875D9" w:rsidRDefault="00E875D9" w:rsidP="00775367">
      <w:pPr>
        <w:tabs>
          <w:tab w:val="left" w:pos="3609"/>
        </w:tabs>
        <w:spacing w:after="0" w:line="240" w:lineRule="auto"/>
        <w:jc w:val="both"/>
        <w:rPr>
          <w:b/>
          <w:color w:val="000000"/>
        </w:rPr>
      </w:pPr>
    </w:p>
    <w:p w:rsidR="00EB5EEB" w:rsidRPr="00775367" w:rsidRDefault="00775367" w:rsidP="00775367">
      <w:pPr>
        <w:tabs>
          <w:tab w:val="left" w:pos="3609"/>
        </w:tabs>
        <w:spacing w:after="0" w:line="240" w:lineRule="auto"/>
        <w:jc w:val="both"/>
        <w:rPr>
          <w:rFonts w:cs="Arial-BoldMT"/>
          <w:b/>
          <w:bCs/>
        </w:rPr>
      </w:pPr>
      <w:r>
        <w:rPr>
          <w:b/>
          <w:color w:val="000000"/>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EB5EEB" w:rsidRPr="00CD06C4" w:rsidTr="006908F6">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EB5EEB" w:rsidRPr="00BF015B" w:rsidRDefault="00EB5EEB" w:rsidP="006908F6">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2</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3.3</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BIENES MUEBLES</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33.3</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b/>
                <w:color w:val="000000"/>
                <w:lang w:val="es-MX"/>
              </w:rPr>
              <w:t>Equipo de Transporte</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40" w:lineRule="exact"/>
              <w:ind w:firstLine="0"/>
              <w:jc w:val="center"/>
              <w:rPr>
                <w:rFonts w:cs="Arial"/>
                <w:color w:val="000000"/>
                <w:lang w:val="es-MX"/>
              </w:rPr>
            </w:pPr>
            <w:r w:rsidRPr="00BF015B">
              <w:rPr>
                <w:rFonts w:cs="Arial"/>
                <w:color w:val="000000"/>
                <w:lang w:val="es-MX"/>
              </w:rPr>
              <w:t>20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r w:rsidR="00EB5EEB" w:rsidRPr="00CD06C4" w:rsidTr="006908F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EB5EEB" w:rsidRPr="00BF015B" w:rsidRDefault="00EB5EEB" w:rsidP="006908F6">
            <w:pPr>
              <w:pStyle w:val="Texto"/>
              <w:spacing w:line="226" w:lineRule="exact"/>
              <w:ind w:firstLine="0"/>
              <w:jc w:val="center"/>
              <w:rPr>
                <w:rFonts w:cs="Arial"/>
                <w:color w:val="000000"/>
                <w:lang w:val="es-MX"/>
              </w:rPr>
            </w:pPr>
            <w:r w:rsidRPr="00BF015B">
              <w:rPr>
                <w:rFonts w:cs="Arial"/>
                <w:color w:val="000000"/>
                <w:lang w:val="es-MX"/>
              </w:rPr>
              <w:t>10</w:t>
            </w:r>
          </w:p>
        </w:tc>
      </w:tr>
    </w:tbl>
    <w:p w:rsidR="00EB5EEB" w:rsidRPr="00784A74" w:rsidRDefault="00EB5EEB" w:rsidP="00EB5EEB">
      <w:pPr>
        <w:spacing w:after="0" w:line="240" w:lineRule="auto"/>
        <w:jc w:val="both"/>
        <w:rPr>
          <w:rFonts w:cs="Arial-BoldMT"/>
          <w:bCs/>
        </w:rPr>
      </w:pPr>
    </w:p>
    <w:p w:rsidR="00A11DD6" w:rsidRPr="0060093F" w:rsidRDefault="00A11DD6" w:rsidP="0060093F">
      <w:pPr>
        <w:spacing w:after="0" w:line="240" w:lineRule="auto"/>
        <w:jc w:val="both"/>
        <w:rPr>
          <w:b/>
        </w:rPr>
      </w:pPr>
      <w:r w:rsidRPr="00047A0D">
        <w:rPr>
          <w:b/>
          <w:color w:val="000000"/>
        </w:rPr>
        <w:t>ESF 09.-</w:t>
      </w:r>
      <w:r w:rsidRPr="00047A0D">
        <w:rPr>
          <w:color w:val="000000"/>
        </w:rPr>
        <w:t xml:space="preserve"> </w:t>
      </w:r>
      <w:r w:rsidRPr="00721474">
        <w:rPr>
          <w:rFonts w:cs="Arial-BoldMT"/>
          <w:bCs/>
        </w:rPr>
        <w:t>“Esta nota no es aplicable al ente público debido a que no tuvo</w:t>
      </w:r>
      <w:r w:rsidRPr="00A11DD6">
        <w:rPr>
          <w:color w:val="000000"/>
        </w:rPr>
        <w:t xml:space="preserve"> </w:t>
      </w:r>
      <w:r w:rsidRPr="00047A0D">
        <w:rPr>
          <w:color w:val="000000"/>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E875D9"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lastRenderedPageBreak/>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A86168">
        <w:t>1</w:t>
      </w:r>
      <w:r w:rsidR="00ED086E">
        <w:t xml:space="preserve"> </w:t>
      </w:r>
      <w:r w:rsidR="00B2794F" w:rsidRPr="00784A74">
        <w:t xml:space="preserve">de </w:t>
      </w:r>
      <w:r w:rsidR="00A86168">
        <w:t xml:space="preserve">Marzo </w:t>
      </w:r>
      <w:r w:rsidR="00E91591">
        <w:t>de 2017</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BD6934" w:rsidRDefault="00BD6934" w:rsidP="008F599B">
      <w:pPr>
        <w:spacing w:after="0" w:line="240" w:lineRule="auto"/>
        <w:jc w:val="both"/>
      </w:pPr>
    </w:p>
    <w:tbl>
      <w:tblPr>
        <w:tblW w:w="8497" w:type="dxa"/>
        <w:tblInd w:w="51" w:type="dxa"/>
        <w:tblCellMar>
          <w:left w:w="70" w:type="dxa"/>
          <w:right w:w="70" w:type="dxa"/>
        </w:tblCellMar>
        <w:tblLook w:val="04A0"/>
      </w:tblPr>
      <w:tblGrid>
        <w:gridCol w:w="3147"/>
        <w:gridCol w:w="2286"/>
        <w:gridCol w:w="3064"/>
      </w:tblGrid>
      <w:tr w:rsidR="00A86168" w:rsidRPr="00A86168" w:rsidTr="00A86168">
        <w:trPr>
          <w:trHeight w:val="180"/>
        </w:trPr>
        <w:tc>
          <w:tcPr>
            <w:tcW w:w="3147" w:type="dxa"/>
            <w:tcBorders>
              <w:top w:val="single" w:sz="8" w:space="0" w:color="auto"/>
              <w:left w:val="single" w:sz="8" w:space="0" w:color="auto"/>
              <w:bottom w:val="nil"/>
              <w:right w:val="single" w:sz="8" w:space="0" w:color="auto"/>
            </w:tcBorders>
            <w:shd w:val="clear" w:color="000000" w:fill="BFBFBF"/>
            <w:vAlign w:val="center"/>
            <w:hideMark/>
          </w:tcPr>
          <w:p w:rsidR="00A86168" w:rsidRPr="00A86168" w:rsidRDefault="00A86168" w:rsidP="00A86168">
            <w:pPr>
              <w:spacing w:after="0" w:line="240" w:lineRule="auto"/>
              <w:rPr>
                <w:rFonts w:ascii="Arial" w:eastAsia="Times New Roman" w:hAnsi="Arial" w:cs="Arial"/>
                <w:b/>
                <w:bCs/>
                <w:color w:val="000000"/>
                <w:sz w:val="20"/>
                <w:szCs w:val="20"/>
                <w:lang w:eastAsia="es-MX"/>
              </w:rPr>
            </w:pPr>
            <w:r w:rsidRPr="00A86168">
              <w:rPr>
                <w:rFonts w:ascii="Arial" w:eastAsia="Times New Roman" w:hAnsi="Arial" w:cs="Arial"/>
                <w:b/>
                <w:bCs/>
                <w:color w:val="000000"/>
                <w:sz w:val="20"/>
                <w:szCs w:val="20"/>
                <w:lang w:eastAsia="es-MX"/>
              </w:rPr>
              <w:t>DESCRIPCION DE LA CUENTA</w:t>
            </w:r>
          </w:p>
        </w:tc>
        <w:tc>
          <w:tcPr>
            <w:tcW w:w="2286" w:type="dxa"/>
            <w:tcBorders>
              <w:top w:val="single" w:sz="8" w:space="0" w:color="auto"/>
              <w:left w:val="nil"/>
              <w:bottom w:val="nil"/>
              <w:right w:val="single" w:sz="8" w:space="0" w:color="auto"/>
            </w:tcBorders>
            <w:shd w:val="clear" w:color="000000" w:fill="BFBFBF"/>
            <w:vAlign w:val="center"/>
            <w:hideMark/>
          </w:tcPr>
          <w:p w:rsidR="00A86168" w:rsidRPr="00A86168" w:rsidRDefault="00A86168" w:rsidP="00A86168">
            <w:pPr>
              <w:spacing w:after="0" w:line="240" w:lineRule="auto"/>
              <w:rPr>
                <w:rFonts w:ascii="Arial" w:eastAsia="Times New Roman" w:hAnsi="Arial" w:cs="Arial"/>
                <w:b/>
                <w:bCs/>
                <w:color w:val="000000"/>
                <w:sz w:val="20"/>
                <w:szCs w:val="20"/>
                <w:lang w:eastAsia="es-MX"/>
              </w:rPr>
            </w:pPr>
            <w:r w:rsidRPr="00A86168">
              <w:rPr>
                <w:rFonts w:ascii="Arial" w:eastAsia="Times New Roman" w:hAnsi="Arial" w:cs="Arial"/>
                <w:b/>
                <w:bCs/>
                <w:color w:val="000000"/>
                <w:sz w:val="20"/>
                <w:szCs w:val="20"/>
                <w:lang w:eastAsia="es-MX"/>
              </w:rPr>
              <w:t>IMPORTE</w:t>
            </w:r>
          </w:p>
        </w:tc>
        <w:tc>
          <w:tcPr>
            <w:tcW w:w="3064" w:type="dxa"/>
            <w:tcBorders>
              <w:top w:val="single" w:sz="8" w:space="0" w:color="auto"/>
              <w:left w:val="nil"/>
              <w:bottom w:val="nil"/>
              <w:right w:val="single" w:sz="8" w:space="0" w:color="auto"/>
            </w:tcBorders>
            <w:shd w:val="clear" w:color="000000" w:fill="BFBFBF"/>
            <w:vAlign w:val="center"/>
            <w:hideMark/>
          </w:tcPr>
          <w:p w:rsidR="00A86168" w:rsidRPr="00A86168" w:rsidRDefault="00A86168" w:rsidP="00A86168">
            <w:pPr>
              <w:spacing w:after="0" w:line="240" w:lineRule="auto"/>
              <w:rPr>
                <w:rFonts w:ascii="Arial" w:eastAsia="Times New Roman" w:hAnsi="Arial" w:cs="Arial"/>
                <w:b/>
                <w:bCs/>
                <w:color w:val="000000"/>
                <w:sz w:val="20"/>
                <w:szCs w:val="20"/>
                <w:lang w:eastAsia="es-MX"/>
              </w:rPr>
            </w:pPr>
            <w:r w:rsidRPr="00A86168">
              <w:rPr>
                <w:rFonts w:ascii="Arial" w:eastAsia="Times New Roman" w:hAnsi="Arial" w:cs="Arial"/>
                <w:b/>
                <w:bCs/>
                <w:color w:val="000000"/>
                <w:sz w:val="20"/>
                <w:szCs w:val="20"/>
                <w:lang w:eastAsia="es-MX"/>
              </w:rPr>
              <w:t>VENCIMIENTO MENOR O IGUAL A 365 DÍAS</w:t>
            </w:r>
          </w:p>
        </w:tc>
      </w:tr>
      <w:tr w:rsidR="00A86168" w:rsidRPr="00A86168" w:rsidTr="00A86168">
        <w:trPr>
          <w:trHeight w:val="48"/>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RETENCION I.S.P.T.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92535.25</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92535.25</w:t>
            </w:r>
          </w:p>
        </w:tc>
      </w:tr>
      <w:tr w:rsidR="00A86168" w:rsidRPr="00A86168" w:rsidTr="00A86168">
        <w:trPr>
          <w:trHeight w:val="93"/>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RETENCION CAJA AHORRO</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23886</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23886</w:t>
            </w:r>
          </w:p>
        </w:tc>
      </w:tr>
      <w:tr w:rsidR="00A86168" w:rsidRPr="00A86168" w:rsidTr="00A86168">
        <w:trPr>
          <w:trHeight w:val="137"/>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RETENCION IMPULSORA PROMOBIEN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30458.65</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30458.65</w:t>
            </w:r>
          </w:p>
        </w:tc>
      </w:tr>
      <w:tr w:rsidR="00A86168" w:rsidRPr="00A86168" w:rsidTr="00A86168">
        <w:trPr>
          <w:trHeight w:val="93"/>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RETENCION ISR HONORARIOS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10550.71</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10550.71</w:t>
            </w:r>
          </w:p>
        </w:tc>
      </w:tr>
      <w:tr w:rsidR="00A86168" w:rsidRPr="00A86168" w:rsidTr="00A86168">
        <w:trPr>
          <w:trHeight w:val="48"/>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I.V.C.</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61885.54</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61885.54</w:t>
            </w:r>
          </w:p>
        </w:tc>
      </w:tr>
      <w:tr w:rsidR="00A86168" w:rsidRPr="00A86168" w:rsidTr="00A86168">
        <w:trPr>
          <w:trHeight w:val="183"/>
        </w:trPr>
        <w:tc>
          <w:tcPr>
            <w:tcW w:w="3147" w:type="dxa"/>
            <w:tcBorders>
              <w:top w:val="nil"/>
              <w:left w:val="single" w:sz="8" w:space="0" w:color="auto"/>
              <w:bottom w:val="single" w:sz="8" w:space="0" w:color="auto"/>
              <w:right w:val="nil"/>
            </w:tcBorders>
            <w:shd w:val="clear" w:color="auto" w:fill="auto"/>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CUENTAS POR PAGAR SECRETARIA DE FINANZAS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1084.75</w:t>
            </w:r>
          </w:p>
        </w:tc>
        <w:tc>
          <w:tcPr>
            <w:tcW w:w="3064" w:type="dxa"/>
            <w:tcBorders>
              <w:top w:val="nil"/>
              <w:left w:val="nil"/>
              <w:bottom w:val="single" w:sz="8" w:space="0" w:color="auto"/>
              <w:right w:val="single" w:sz="8" w:space="0" w:color="auto"/>
            </w:tcBorders>
            <w:shd w:val="clear" w:color="auto" w:fill="auto"/>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1084.75</w:t>
            </w:r>
          </w:p>
        </w:tc>
      </w:tr>
      <w:tr w:rsidR="00A86168" w:rsidRPr="00A86168" w:rsidTr="00A86168">
        <w:trPr>
          <w:trHeight w:val="48"/>
        </w:trPr>
        <w:tc>
          <w:tcPr>
            <w:tcW w:w="3147" w:type="dxa"/>
            <w:tcBorders>
              <w:top w:val="nil"/>
              <w:left w:val="single" w:sz="8" w:space="0" w:color="auto"/>
              <w:bottom w:val="single" w:sz="8" w:space="0" w:color="auto"/>
              <w:right w:val="single" w:sz="8" w:space="0" w:color="auto"/>
            </w:tcBorders>
            <w:shd w:val="clear" w:color="000000" w:fill="BFBFBF"/>
            <w:vAlign w:val="center"/>
            <w:hideMark/>
          </w:tcPr>
          <w:p w:rsidR="00A86168" w:rsidRPr="00A86168" w:rsidRDefault="00A86168" w:rsidP="00A86168">
            <w:pPr>
              <w:spacing w:after="0" w:line="240" w:lineRule="auto"/>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 xml:space="preserve"> TOTAL PASIVO </w:t>
            </w:r>
          </w:p>
        </w:tc>
        <w:tc>
          <w:tcPr>
            <w:tcW w:w="2286" w:type="dxa"/>
            <w:tcBorders>
              <w:top w:val="nil"/>
              <w:left w:val="nil"/>
              <w:bottom w:val="single" w:sz="8" w:space="0" w:color="auto"/>
              <w:right w:val="single" w:sz="8" w:space="0" w:color="auto"/>
            </w:tcBorders>
            <w:shd w:val="clear" w:color="000000" w:fill="BFBFBF"/>
            <w:noWrap/>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220,400.90</w:t>
            </w:r>
          </w:p>
        </w:tc>
        <w:tc>
          <w:tcPr>
            <w:tcW w:w="3064" w:type="dxa"/>
            <w:tcBorders>
              <w:top w:val="nil"/>
              <w:left w:val="nil"/>
              <w:bottom w:val="single" w:sz="8" w:space="0" w:color="auto"/>
              <w:right w:val="single" w:sz="8" w:space="0" w:color="auto"/>
            </w:tcBorders>
            <w:shd w:val="clear" w:color="000000" w:fill="BFBFBF"/>
            <w:noWrap/>
            <w:vAlign w:val="center"/>
            <w:hideMark/>
          </w:tcPr>
          <w:p w:rsidR="00A86168" w:rsidRPr="00A86168" w:rsidRDefault="00A86168" w:rsidP="00A86168">
            <w:pPr>
              <w:spacing w:after="0" w:line="240" w:lineRule="auto"/>
              <w:jc w:val="right"/>
              <w:rPr>
                <w:rFonts w:ascii="Arial" w:eastAsia="Times New Roman" w:hAnsi="Arial" w:cs="Arial"/>
                <w:color w:val="000000"/>
                <w:sz w:val="20"/>
                <w:szCs w:val="20"/>
                <w:lang w:eastAsia="es-MX"/>
              </w:rPr>
            </w:pPr>
            <w:r w:rsidRPr="00A86168">
              <w:rPr>
                <w:rFonts w:ascii="Arial" w:eastAsia="Times New Roman" w:hAnsi="Arial" w:cs="Arial"/>
                <w:color w:val="000000"/>
                <w:sz w:val="20"/>
                <w:szCs w:val="20"/>
                <w:lang w:eastAsia="es-MX"/>
              </w:rPr>
              <w:t>220,400.90</w:t>
            </w:r>
          </w:p>
        </w:tc>
      </w:tr>
    </w:tbl>
    <w:p w:rsidR="00A11DD6" w:rsidRP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ESF 13.-</w:t>
      </w:r>
      <w:r w:rsidRPr="00A11DD6">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Fondos de Bienes de Terceros en Administración y/o en Garantía a corto y largo plazo</w:t>
      </w:r>
      <w:r>
        <w:rPr>
          <w:rFonts w:ascii="Calibri" w:hAnsi="Calibri"/>
          <w:color w:val="000000"/>
          <w:sz w:val="22"/>
          <w:szCs w:val="22"/>
          <w:lang w:val="es-MX"/>
        </w:rPr>
        <w:t>”.</w:t>
      </w:r>
    </w:p>
    <w:p w:rsid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 xml:space="preserve">ESF 14.-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pasivos diferidos</w:t>
      </w:r>
      <w:r>
        <w:rPr>
          <w:rFonts w:ascii="Calibri" w:hAnsi="Calibri"/>
          <w:color w:val="000000"/>
          <w:sz w:val="22"/>
          <w:szCs w:val="22"/>
          <w:lang w:val="es-MX"/>
        </w:rPr>
        <w:t>”.</w:t>
      </w:r>
    </w:p>
    <w:p w:rsidR="00E875D9" w:rsidRDefault="00E875D9" w:rsidP="00A11DD6">
      <w:pPr>
        <w:pStyle w:val="NormalWeb"/>
        <w:jc w:val="both"/>
        <w:rPr>
          <w:rFonts w:ascii="Calibri" w:hAnsi="Calibri"/>
          <w:color w:val="000000"/>
          <w:sz w:val="22"/>
          <w:szCs w:val="22"/>
          <w:lang w:val="es-MX"/>
        </w:rPr>
      </w:pP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875D9" w:rsidRDefault="00E875D9"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DA3243"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Los ingresos totales de gestión del 01 de</w:t>
      </w:r>
      <w:r w:rsidR="00A86168">
        <w:rPr>
          <w:rFonts w:cs="Arial-BoldMT"/>
          <w:bCs/>
        </w:rPr>
        <w:t xml:space="preserve"> Enero </w:t>
      </w:r>
      <w:r w:rsidR="00ED02A3" w:rsidRPr="00C04D0E">
        <w:rPr>
          <w:rFonts w:cs="Arial-BoldMT"/>
          <w:bCs/>
        </w:rPr>
        <w:t xml:space="preserve"> </w:t>
      </w:r>
      <w:r w:rsidR="00A86168">
        <w:rPr>
          <w:rFonts w:cs="Arial-BoldMT"/>
          <w:bCs/>
        </w:rPr>
        <w:t>al 31</w:t>
      </w:r>
      <w:r w:rsidR="00EA2DCD">
        <w:rPr>
          <w:rFonts w:cs="Arial-BoldMT"/>
          <w:bCs/>
        </w:rPr>
        <w:t xml:space="preserve"> de </w:t>
      </w:r>
      <w:r w:rsidR="00A86168">
        <w:rPr>
          <w:rFonts w:cs="Arial-BoldMT"/>
          <w:bCs/>
        </w:rPr>
        <w:t>Marzo de 2017</w:t>
      </w:r>
      <w:r w:rsidR="00ED02A3" w:rsidRPr="00C04D0E">
        <w:rPr>
          <w:rFonts w:cs="Arial-BoldMT"/>
          <w:bCs/>
        </w:rPr>
        <w:t xml:space="preserve"> corresponden en un </w:t>
      </w:r>
      <w:r w:rsidR="00E91591">
        <w:rPr>
          <w:rFonts w:cs="Arial-BoldMT"/>
          <w:bCs/>
        </w:rPr>
        <w:t xml:space="preserve">   98</w:t>
      </w:r>
      <w:r w:rsidR="00ED02A3" w:rsidRPr="00C04D0E">
        <w:rPr>
          <w:rFonts w:cs="Arial-BoldMT"/>
          <w:bCs/>
        </w:rPr>
        <w:t>% a las parti</w:t>
      </w:r>
      <w:r w:rsidR="00C645E2">
        <w:rPr>
          <w:rFonts w:cs="Arial-BoldMT"/>
          <w:bCs/>
        </w:rPr>
        <w:t>cipaciones del gobierno federal</w:t>
      </w:r>
      <w:r w:rsidR="00985C75">
        <w:rPr>
          <w:rFonts w:cs="Arial-BoldMT"/>
          <w:bCs/>
        </w:rPr>
        <w:t xml:space="preserve"> así como de subsidios y subvenciones</w:t>
      </w:r>
      <w:r w:rsidR="00ED02A3" w:rsidRPr="00C04D0E">
        <w:rPr>
          <w:rFonts w:cs="Arial-BoldMT"/>
          <w:bCs/>
        </w:rPr>
        <w:t xml:space="preserve"> y a un</w:t>
      </w:r>
      <w:r w:rsidR="00C85CEB" w:rsidRPr="00C04D0E">
        <w:rPr>
          <w:rFonts w:cs="Arial-BoldMT"/>
          <w:bCs/>
        </w:rPr>
        <w:t xml:space="preserve"> </w:t>
      </w:r>
      <w:r w:rsidR="000C60B1" w:rsidRPr="000C60B1">
        <w:rPr>
          <w:rFonts w:cs="Arial-BoldMT"/>
          <w:bCs/>
        </w:rPr>
        <w:t>2</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985C75">
        <w:rPr>
          <w:rFonts w:cs="Arial-BoldMT"/>
          <w:bCs/>
        </w:rPr>
        <w:t>impuestos al patrimonio, accesorios de impuestos, derechos por prestación de servicios, otros derechos y otros aprovechamientos.</w:t>
      </w:r>
    </w:p>
    <w:p w:rsidR="00DA3243" w:rsidRDefault="00DA3243" w:rsidP="00DA3243">
      <w:pPr>
        <w:spacing w:after="0" w:line="240" w:lineRule="auto"/>
        <w:jc w:val="both"/>
        <w:rPr>
          <w:rFonts w:cs="Arial-BoldMT"/>
          <w:b/>
          <w:bCs/>
        </w:rPr>
      </w:pPr>
    </w:p>
    <w:tbl>
      <w:tblPr>
        <w:tblW w:w="8105" w:type="dxa"/>
        <w:tblInd w:w="51" w:type="dxa"/>
        <w:tblCellMar>
          <w:left w:w="70" w:type="dxa"/>
          <w:right w:w="70" w:type="dxa"/>
        </w:tblCellMar>
        <w:tblLook w:val="04A0"/>
      </w:tblPr>
      <w:tblGrid>
        <w:gridCol w:w="6102"/>
        <w:gridCol w:w="2003"/>
      </w:tblGrid>
      <w:tr w:rsidR="00A86168" w:rsidRPr="00A86168" w:rsidTr="00A86168">
        <w:trPr>
          <w:trHeight w:val="176"/>
        </w:trPr>
        <w:tc>
          <w:tcPr>
            <w:tcW w:w="6102"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A86168" w:rsidRPr="00A86168" w:rsidRDefault="00A86168" w:rsidP="00A86168">
            <w:pPr>
              <w:spacing w:after="0" w:line="240" w:lineRule="auto"/>
              <w:jc w:val="center"/>
              <w:rPr>
                <w:rFonts w:eastAsia="Times New Roman" w:cs="Calibri"/>
                <w:b/>
                <w:bCs/>
                <w:color w:val="000000"/>
                <w:lang w:eastAsia="es-MX"/>
              </w:rPr>
            </w:pPr>
            <w:r w:rsidRPr="00A86168">
              <w:rPr>
                <w:rFonts w:eastAsia="Times New Roman" w:cs="Calibri"/>
                <w:b/>
                <w:bCs/>
                <w:color w:val="000000"/>
                <w:lang w:eastAsia="es-MX"/>
              </w:rPr>
              <w:t>DESCRIPCION DE LA CUENTA</w:t>
            </w:r>
          </w:p>
        </w:tc>
        <w:tc>
          <w:tcPr>
            <w:tcW w:w="2003" w:type="dxa"/>
            <w:tcBorders>
              <w:top w:val="single" w:sz="8" w:space="0" w:color="auto"/>
              <w:left w:val="nil"/>
              <w:bottom w:val="single" w:sz="8" w:space="0" w:color="auto"/>
              <w:right w:val="single" w:sz="8" w:space="0" w:color="auto"/>
            </w:tcBorders>
            <w:shd w:val="clear" w:color="000000" w:fill="BFBFBF"/>
            <w:noWrap/>
            <w:vAlign w:val="bottom"/>
            <w:hideMark/>
          </w:tcPr>
          <w:p w:rsidR="00A86168" w:rsidRPr="00A86168" w:rsidRDefault="00A86168" w:rsidP="00A86168">
            <w:pPr>
              <w:spacing w:after="0" w:line="240" w:lineRule="auto"/>
              <w:jc w:val="center"/>
              <w:rPr>
                <w:rFonts w:eastAsia="Times New Roman" w:cs="Calibri"/>
                <w:b/>
                <w:bCs/>
                <w:color w:val="000000"/>
                <w:lang w:eastAsia="es-MX"/>
              </w:rPr>
            </w:pPr>
            <w:r w:rsidRPr="00A86168">
              <w:rPr>
                <w:rFonts w:eastAsia="Times New Roman" w:cs="Calibri"/>
                <w:b/>
                <w:bCs/>
                <w:color w:val="000000"/>
                <w:lang w:eastAsia="es-MX"/>
              </w:rPr>
              <w:t>IMPORTE</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b/>
                <w:bCs/>
                <w:color w:val="000000"/>
                <w:lang w:eastAsia="es-MX"/>
              </w:rPr>
            </w:pPr>
            <w:r w:rsidRPr="00A86168">
              <w:rPr>
                <w:rFonts w:eastAsia="Times New Roman" w:cs="Calibri"/>
                <w:b/>
                <w:bCs/>
                <w:color w:val="000000"/>
                <w:lang w:eastAsia="es-MX"/>
              </w:rPr>
              <w:t xml:space="preserve"> INGRESOS PROPIOS </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b/>
                <w:bCs/>
                <w:color w:val="000000"/>
                <w:lang w:eastAsia="es-MX"/>
              </w:rPr>
            </w:pPr>
            <w:r w:rsidRPr="00A86168">
              <w:rPr>
                <w:rFonts w:eastAsia="Times New Roman" w:cs="Calibri"/>
                <w:b/>
                <w:bCs/>
                <w:color w:val="000000"/>
                <w:lang w:eastAsia="es-MX"/>
              </w:rPr>
              <w:t>217,741.23</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IMPUESTOS SOBRE EL PATRIMONIO</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120,016.74</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ACCESORIOS DE IMPUESTOS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1,076.30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OTROS IMPUESTOS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645.00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DERECHOS POR PRESTACIÓN DE SERVICIOS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2,770.00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OTROS DERECHOS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44,792.59</w:t>
            </w:r>
          </w:p>
        </w:tc>
      </w:tr>
      <w:tr w:rsidR="00A86168" w:rsidRPr="00A86168" w:rsidTr="00A86168">
        <w:trPr>
          <w:trHeight w:val="344"/>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OTROS PRODUCTOS QUE GENERAN INGRESOS CORRIENTES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41,717.40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OTROS APROVECHAMIENTOS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6,723.20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b/>
                <w:bCs/>
                <w:color w:val="000000"/>
                <w:lang w:eastAsia="es-MX"/>
              </w:rPr>
            </w:pPr>
            <w:r w:rsidRPr="00A86168">
              <w:rPr>
                <w:rFonts w:eastAsia="Times New Roman" w:cs="Calibri"/>
                <w:b/>
                <w:bCs/>
                <w:color w:val="000000"/>
                <w:lang w:eastAsia="es-MX"/>
              </w:rPr>
              <w:t xml:space="preserve"> INGRESOS FEDERALES </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b/>
                <w:bCs/>
                <w:color w:val="000000"/>
                <w:lang w:eastAsia="es-MX"/>
              </w:rPr>
            </w:pPr>
            <w:r w:rsidRPr="00A86168">
              <w:rPr>
                <w:rFonts w:eastAsia="Times New Roman" w:cs="Calibri"/>
                <w:b/>
                <w:bCs/>
                <w:color w:val="000000"/>
                <w:lang w:eastAsia="es-MX"/>
              </w:rPr>
              <w:t>10,270,391.72</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PARTICIPACIONES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4,583,092.00</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t>APORTACIONES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1,000,016.76</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auto" w:fill="auto"/>
            <w:vAlign w:val="bottom"/>
            <w:hideMark/>
          </w:tcPr>
          <w:p w:rsidR="00A86168" w:rsidRPr="00A86168" w:rsidRDefault="00A86168" w:rsidP="00A86168">
            <w:pPr>
              <w:spacing w:after="0" w:line="240" w:lineRule="auto"/>
              <w:rPr>
                <w:rFonts w:eastAsia="Times New Roman" w:cs="Calibri"/>
                <w:color w:val="000000"/>
                <w:lang w:eastAsia="es-MX"/>
              </w:rPr>
            </w:pPr>
            <w:r w:rsidRPr="00A86168">
              <w:rPr>
                <w:rFonts w:eastAsia="Times New Roman" w:cs="Calibri"/>
                <w:color w:val="000000"/>
                <w:lang w:eastAsia="es-MX"/>
              </w:rPr>
              <w:lastRenderedPageBreak/>
              <w:t>CONVENIOS</w:t>
            </w:r>
          </w:p>
        </w:tc>
        <w:tc>
          <w:tcPr>
            <w:tcW w:w="2003" w:type="dxa"/>
            <w:tcBorders>
              <w:top w:val="nil"/>
              <w:left w:val="nil"/>
              <w:bottom w:val="single" w:sz="8" w:space="0" w:color="auto"/>
              <w:right w:val="single" w:sz="8" w:space="0" w:color="auto"/>
            </w:tcBorders>
            <w:shd w:val="clear" w:color="auto" w:fill="auto"/>
            <w:hideMark/>
          </w:tcPr>
          <w:p w:rsidR="00A86168" w:rsidRPr="00A86168" w:rsidRDefault="00A86168" w:rsidP="00A86168">
            <w:pPr>
              <w:spacing w:after="0" w:line="240" w:lineRule="auto"/>
              <w:jc w:val="right"/>
              <w:rPr>
                <w:rFonts w:eastAsia="Times New Roman" w:cs="Calibri"/>
                <w:color w:val="000000"/>
                <w:lang w:eastAsia="es-MX"/>
              </w:rPr>
            </w:pPr>
            <w:r w:rsidRPr="00A86168">
              <w:rPr>
                <w:rFonts w:eastAsia="Times New Roman" w:cs="Calibri"/>
                <w:color w:val="000000"/>
                <w:lang w:eastAsia="es-MX"/>
              </w:rPr>
              <w:t>4,687,282.96</w:t>
            </w:r>
          </w:p>
        </w:tc>
      </w:tr>
      <w:tr w:rsidR="00A86168" w:rsidRPr="00A86168" w:rsidTr="00A86168">
        <w:trPr>
          <w:trHeight w:val="176"/>
        </w:trPr>
        <w:tc>
          <w:tcPr>
            <w:tcW w:w="6102" w:type="dxa"/>
            <w:tcBorders>
              <w:top w:val="nil"/>
              <w:left w:val="single" w:sz="8" w:space="0" w:color="auto"/>
              <w:bottom w:val="single" w:sz="8" w:space="0" w:color="auto"/>
              <w:right w:val="single" w:sz="8" w:space="0" w:color="auto"/>
            </w:tcBorders>
            <w:shd w:val="clear" w:color="000000" w:fill="BFBFBF"/>
            <w:vAlign w:val="bottom"/>
            <w:hideMark/>
          </w:tcPr>
          <w:p w:rsidR="00A86168" w:rsidRPr="00A86168" w:rsidRDefault="00A86168" w:rsidP="00A86168">
            <w:pPr>
              <w:spacing w:after="0" w:line="240" w:lineRule="auto"/>
              <w:jc w:val="center"/>
              <w:rPr>
                <w:rFonts w:eastAsia="Times New Roman" w:cs="Calibri"/>
                <w:b/>
                <w:bCs/>
                <w:color w:val="000000"/>
                <w:lang w:eastAsia="es-MX"/>
              </w:rPr>
            </w:pPr>
            <w:r w:rsidRPr="00A86168">
              <w:rPr>
                <w:rFonts w:eastAsia="Times New Roman" w:cs="Calibri"/>
                <w:b/>
                <w:bCs/>
                <w:color w:val="000000"/>
                <w:lang w:eastAsia="es-MX"/>
              </w:rPr>
              <w:t xml:space="preserve"> TOTAL INGRESOS DE GESTION </w:t>
            </w:r>
          </w:p>
        </w:tc>
        <w:tc>
          <w:tcPr>
            <w:tcW w:w="2003" w:type="dxa"/>
            <w:tcBorders>
              <w:top w:val="nil"/>
              <w:left w:val="nil"/>
              <w:bottom w:val="single" w:sz="8" w:space="0" w:color="auto"/>
              <w:right w:val="single" w:sz="8" w:space="0" w:color="auto"/>
            </w:tcBorders>
            <w:shd w:val="clear" w:color="000000" w:fill="BFBFBF"/>
            <w:noWrap/>
            <w:vAlign w:val="bottom"/>
            <w:hideMark/>
          </w:tcPr>
          <w:p w:rsidR="00A86168" w:rsidRPr="00A86168" w:rsidRDefault="00A86168" w:rsidP="00A86168">
            <w:pPr>
              <w:spacing w:after="0" w:line="240" w:lineRule="auto"/>
              <w:jc w:val="right"/>
              <w:rPr>
                <w:rFonts w:eastAsia="Times New Roman" w:cs="Calibri"/>
                <w:b/>
                <w:bCs/>
                <w:color w:val="000000"/>
                <w:lang w:eastAsia="es-MX"/>
              </w:rPr>
            </w:pPr>
            <w:r w:rsidRPr="00A86168">
              <w:rPr>
                <w:rFonts w:eastAsia="Times New Roman" w:cs="Calibri"/>
                <w:b/>
                <w:bCs/>
                <w:color w:val="000000"/>
                <w:lang w:eastAsia="es-MX"/>
              </w:rPr>
              <w:t>10,488,132.95</w:t>
            </w:r>
          </w:p>
        </w:tc>
      </w:tr>
    </w:tbl>
    <w:p w:rsidR="00542A2E" w:rsidRDefault="00542A2E" w:rsidP="00DA3243">
      <w:pPr>
        <w:spacing w:after="0" w:line="240" w:lineRule="auto"/>
        <w:jc w:val="both"/>
        <w:rPr>
          <w:rFonts w:cs="Arial-BoldMT"/>
          <w:b/>
          <w:bCs/>
        </w:rPr>
      </w:pPr>
    </w:p>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233E0C" w:rsidRDefault="00A1376D" w:rsidP="00233E0C">
      <w:pPr>
        <w:spacing w:after="0" w:line="240" w:lineRule="auto"/>
        <w:jc w:val="both"/>
        <w:rPr>
          <w:rFonts w:cs="Arial-BoldMT"/>
          <w:b/>
          <w:bCs/>
        </w:rPr>
      </w:pPr>
      <w:r w:rsidRPr="00784A74">
        <w:rPr>
          <w:rFonts w:cs="Arial-BoldMT"/>
          <w:b/>
          <w:bCs/>
        </w:rPr>
        <w:t>GASTOS Y OTRAS PÉRDIDAS.</w:t>
      </w:r>
    </w:p>
    <w:p w:rsidR="00233E0C" w:rsidRDefault="00233E0C" w:rsidP="00233E0C">
      <w:pPr>
        <w:spacing w:after="0" w:line="240" w:lineRule="auto"/>
        <w:jc w:val="both"/>
        <w:rPr>
          <w:rFonts w:cs="Arial-BoldMT"/>
          <w:b/>
          <w:bCs/>
        </w:rPr>
      </w:pPr>
    </w:p>
    <w:p w:rsidR="00ED02A3" w:rsidRDefault="00C04D0E" w:rsidP="00233E0C">
      <w:pPr>
        <w:spacing w:after="0" w:line="240" w:lineRule="auto"/>
        <w:jc w:val="both"/>
        <w:rPr>
          <w:rFonts w:cs="Arial-BoldMT"/>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Se detalla aquellas cuentas de gastos de funcionamiento, transferencias, subsidios y otras ayudas, participaciones y aportaciones, así como de otros gastos efectuados durante el período comprendido del 01 de</w:t>
      </w:r>
      <w:r w:rsidR="000C60B1">
        <w:rPr>
          <w:rFonts w:cs="Arial-BoldMT"/>
          <w:bCs/>
        </w:rPr>
        <w:t xml:space="preserve"> Enero</w:t>
      </w:r>
      <w:r w:rsidR="00FB4E35">
        <w:rPr>
          <w:rFonts w:cs="Arial-BoldMT"/>
          <w:bCs/>
        </w:rPr>
        <w:t xml:space="preserve"> </w:t>
      </w:r>
      <w:r w:rsidR="000C60B1">
        <w:rPr>
          <w:rFonts w:cs="Arial-BoldMT"/>
          <w:bCs/>
        </w:rPr>
        <w:t xml:space="preserve"> al 31</w:t>
      </w:r>
      <w:r w:rsidR="0019518A">
        <w:rPr>
          <w:rFonts w:cs="Arial-BoldMT"/>
          <w:bCs/>
        </w:rPr>
        <w:t xml:space="preserve"> de </w:t>
      </w:r>
      <w:r w:rsidR="000C60B1">
        <w:rPr>
          <w:rFonts w:cs="Arial-BoldMT"/>
          <w:bCs/>
        </w:rPr>
        <w:t>Marzo de 2017</w:t>
      </w:r>
      <w:r w:rsidR="00ED02A3" w:rsidRPr="00047A0D">
        <w:rPr>
          <w:rFonts w:cs="Arial-BoldMT"/>
          <w:bCs/>
        </w:rPr>
        <w:t>.</w:t>
      </w:r>
    </w:p>
    <w:p w:rsidR="000C60B1" w:rsidRPr="00233E0C" w:rsidRDefault="000C60B1" w:rsidP="00233E0C">
      <w:pPr>
        <w:spacing w:after="0" w:line="240" w:lineRule="auto"/>
        <w:jc w:val="both"/>
        <w:rPr>
          <w:rFonts w:cs="Arial-BoldMT"/>
          <w:b/>
          <w:bCs/>
        </w:rPr>
      </w:pPr>
    </w:p>
    <w:tbl>
      <w:tblPr>
        <w:tblW w:w="7798" w:type="dxa"/>
        <w:tblInd w:w="51" w:type="dxa"/>
        <w:tblCellMar>
          <w:left w:w="70" w:type="dxa"/>
          <w:right w:w="70" w:type="dxa"/>
        </w:tblCellMar>
        <w:tblLook w:val="04A0"/>
      </w:tblPr>
      <w:tblGrid>
        <w:gridCol w:w="6077"/>
        <w:gridCol w:w="1721"/>
      </w:tblGrid>
      <w:tr w:rsidR="000C60B1" w:rsidRPr="000C60B1" w:rsidTr="000C60B1">
        <w:trPr>
          <w:trHeight w:val="218"/>
        </w:trPr>
        <w:tc>
          <w:tcPr>
            <w:tcW w:w="6077" w:type="dxa"/>
            <w:tcBorders>
              <w:top w:val="single" w:sz="8" w:space="0" w:color="auto"/>
              <w:left w:val="single" w:sz="8" w:space="0" w:color="auto"/>
              <w:bottom w:val="single" w:sz="8" w:space="0" w:color="auto"/>
              <w:right w:val="nil"/>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bookmarkStart w:id="0" w:name="OLE_LINK10"/>
            <w:bookmarkStart w:id="1" w:name="OLE_LINK11"/>
            <w:bookmarkStart w:id="2" w:name="OLE_LINK12"/>
            <w:r w:rsidRPr="000C60B1">
              <w:rPr>
                <w:rFonts w:eastAsia="Times New Roman" w:cs="Calibri"/>
                <w:b/>
                <w:bCs/>
                <w:color w:val="000000"/>
                <w:lang w:eastAsia="es-MX"/>
              </w:rPr>
              <w:t xml:space="preserve">DESCRIPCION DE LA CUENTA </w:t>
            </w:r>
          </w:p>
        </w:tc>
        <w:tc>
          <w:tcPr>
            <w:tcW w:w="1721" w:type="dxa"/>
            <w:tcBorders>
              <w:top w:val="single" w:sz="8" w:space="0" w:color="auto"/>
              <w:left w:val="single" w:sz="8" w:space="0" w:color="auto"/>
              <w:bottom w:val="nil"/>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Calibri"/>
                <w:b/>
                <w:bCs/>
                <w:color w:val="000000"/>
                <w:lang w:eastAsia="es-MX"/>
              </w:rPr>
              <w:t xml:space="preserve"> IMPORTE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REMUNERACIONES AL PERSONAL DE CARÁCTER PERMANENTE</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2,162,431.00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REMUNERACIONES ADICIONALES Y ESPECIALES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70,676.00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MATERIALES DE ADMINISTRACIÓN, EMISIÓN DE DOCUMENTOS Y ARTÍCULOS OFICIALES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32,449.83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ALIMENTOS Y UTENSILIOS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6,033.68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MATERIALES Y ARTÍCULOS DE CONSTRUCCIÓN Y DE REPARACIÓN</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85,579.94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PRODUCTOS QUÍMICOS, FARMACÉUTICOS Y DE LABORATORIO</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15,480.13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COMBUSTIBLES, LUBRICANTES Y ADITIVOS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622,059.85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VESTUARIO, BLANCOS, PRENDAS DE PROTECCIÓN Y ARTÍCULOS DEPORTIVOS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15,468.60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BÁSICOS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512,675.00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DE ARRENDAMIENTO</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24,708.00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PROFESIONALES, CIENTÍFICOS Y TÉCNICOS Y OTROS SERVICIOS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99,268.00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FINANCIEROS, BANCARIOS Y COMERCIALES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3,301.35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DE INSTALACIÓN, REPARACIÓN, MANTENIMIENTO Y CONSERVACIÓN</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361,240.23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DE COMUNICACIÓN SOCIAL Y PUBLICIDAD</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3,480.00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DE TRASLADO Y VIÁTICOS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22,513.16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SERVICIOS OFICIALES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41,165.23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OTROS SERVICIOS GENERALES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27,595.00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SUBSIDIOS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14,534.03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AYUDAS SOCIALES A PERSONAS</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427,480.25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DEPRECIACIÓN DE MOBILIARIO Y EQUIPO DE ADMINISTRACIÓN</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13,451.11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DEPRECIACIÓN DE EQUIPO DE TRANSPORTE</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36,908.68 </w:t>
            </w:r>
          </w:p>
        </w:tc>
      </w:tr>
      <w:tr w:rsidR="000C60B1" w:rsidRPr="000C60B1" w:rsidTr="000C60B1">
        <w:trPr>
          <w:trHeight w:val="426"/>
        </w:trPr>
        <w:tc>
          <w:tcPr>
            <w:tcW w:w="6077" w:type="dxa"/>
            <w:tcBorders>
              <w:top w:val="nil"/>
              <w:left w:val="single" w:sz="8" w:space="0" w:color="auto"/>
              <w:bottom w:val="single" w:sz="8" w:space="0" w:color="auto"/>
              <w:right w:val="nil"/>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DEPRECIACIÓN DE EQUIPO DE DEFENSA Y DE SEGURIDAD</w:t>
            </w:r>
          </w:p>
        </w:tc>
        <w:tc>
          <w:tcPr>
            <w:tcW w:w="1721"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407.96 </w:t>
            </w:r>
          </w:p>
        </w:tc>
      </w:tr>
      <w:tr w:rsidR="000C60B1" w:rsidRPr="000C60B1" w:rsidTr="000C60B1">
        <w:trPr>
          <w:trHeight w:val="218"/>
        </w:trPr>
        <w:tc>
          <w:tcPr>
            <w:tcW w:w="6077" w:type="dxa"/>
            <w:tcBorders>
              <w:top w:val="nil"/>
              <w:left w:val="single" w:sz="8" w:space="0" w:color="auto"/>
              <w:bottom w:val="single" w:sz="8" w:space="0" w:color="auto"/>
              <w:right w:val="nil"/>
            </w:tcBorders>
            <w:shd w:val="clear" w:color="000000" w:fill="BFBFBF"/>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Calibri"/>
                <w:b/>
                <w:bCs/>
                <w:color w:val="000000"/>
                <w:lang w:eastAsia="es-MX"/>
              </w:rPr>
              <w:t xml:space="preserve"> TOTAL GASTOS Y OTRAS PÉRDIDAS </w:t>
            </w:r>
          </w:p>
        </w:tc>
        <w:tc>
          <w:tcPr>
            <w:tcW w:w="1721" w:type="dxa"/>
            <w:tcBorders>
              <w:top w:val="nil"/>
              <w:left w:val="single" w:sz="8" w:space="0" w:color="auto"/>
              <w:bottom w:val="single" w:sz="8" w:space="0" w:color="auto"/>
              <w:right w:val="single" w:sz="8" w:space="0" w:color="auto"/>
            </w:tcBorders>
            <w:shd w:val="clear" w:color="000000" w:fill="BFBFBF"/>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Calibri"/>
                <w:b/>
                <w:bCs/>
                <w:color w:val="000000"/>
                <w:lang w:eastAsia="es-MX"/>
              </w:rPr>
              <w:t xml:space="preserve"> 4,598,907.03 </w:t>
            </w:r>
          </w:p>
        </w:tc>
      </w:tr>
    </w:tbl>
    <w:p w:rsidR="00A86168" w:rsidRPr="004E1EFB" w:rsidRDefault="00A86168" w:rsidP="004E1EFB">
      <w:pPr>
        <w:pStyle w:val="NormalWeb"/>
        <w:jc w:val="both"/>
        <w:rPr>
          <w:rFonts w:ascii="Calibri" w:hAnsi="Calibri"/>
          <w:color w:val="000000"/>
          <w:sz w:val="22"/>
          <w:szCs w:val="22"/>
        </w:rPr>
      </w:pPr>
    </w:p>
    <w:p w:rsidR="00013225" w:rsidRPr="00784A74" w:rsidRDefault="00013225" w:rsidP="00013225">
      <w:pPr>
        <w:spacing w:after="0" w:line="240" w:lineRule="auto"/>
        <w:jc w:val="both"/>
        <w:rPr>
          <w:rFonts w:cs="Arial-BoldMT"/>
          <w:b/>
          <w:bCs/>
        </w:rPr>
      </w:pPr>
      <w:r w:rsidRPr="00784A74">
        <w:rPr>
          <w:rFonts w:cs="Arial-BoldMT"/>
          <w:b/>
          <w:bCs/>
        </w:rPr>
        <w:lastRenderedPageBreak/>
        <w:t>II</w:t>
      </w:r>
      <w:r w:rsidR="00ED02A3">
        <w:rPr>
          <w:rFonts w:cs="Arial-BoldMT"/>
          <w:b/>
          <w:bCs/>
        </w:rPr>
        <w:t>I</w:t>
      </w:r>
      <w:r w:rsidRPr="00784A74">
        <w:rPr>
          <w:rFonts w:cs="Arial-BoldMT"/>
          <w:b/>
          <w:bCs/>
        </w:rPr>
        <w:t>.- NOTAS AL ESTADO DE LA VARIACIÓN EN LA HACIENDA PÚBLICA</w:t>
      </w: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6D2C56" w:rsidTr="00414099">
        <w:trPr>
          <w:jc w:val="center"/>
        </w:trPr>
        <w:tc>
          <w:tcPr>
            <w:tcW w:w="3529" w:type="dxa"/>
            <w:shd w:val="clear" w:color="auto" w:fill="BFBFBF"/>
          </w:tcPr>
          <w:p w:rsidR="00013225" w:rsidRPr="007F6795" w:rsidRDefault="00013225" w:rsidP="00414099">
            <w:pPr>
              <w:spacing w:after="0" w:line="240" w:lineRule="auto"/>
              <w:jc w:val="center"/>
              <w:rPr>
                <w:rFonts w:cs="Arial"/>
                <w:b/>
              </w:rPr>
            </w:pPr>
            <w:r w:rsidRPr="007F6795">
              <w:rPr>
                <w:rFonts w:cs="Arial"/>
                <w:b/>
              </w:rPr>
              <w:t>Denominación</w:t>
            </w:r>
          </w:p>
        </w:tc>
        <w:tc>
          <w:tcPr>
            <w:tcW w:w="1525" w:type="dxa"/>
            <w:shd w:val="clear" w:color="auto" w:fill="BFBFBF"/>
          </w:tcPr>
          <w:p w:rsidR="00013225" w:rsidRPr="007F6795" w:rsidRDefault="00013225" w:rsidP="00414099">
            <w:pPr>
              <w:spacing w:after="0" w:line="240" w:lineRule="auto"/>
              <w:jc w:val="center"/>
              <w:rPr>
                <w:rFonts w:cs="Arial"/>
                <w:b/>
              </w:rPr>
            </w:pPr>
            <w:r w:rsidRPr="007F6795">
              <w:rPr>
                <w:rFonts w:cs="Arial"/>
                <w:b/>
              </w:rPr>
              <w:t>Importe</w:t>
            </w:r>
          </w:p>
        </w:tc>
      </w:tr>
      <w:tr w:rsidR="00013225" w:rsidRPr="006D2C56" w:rsidTr="00414099">
        <w:trPr>
          <w:jc w:val="center"/>
        </w:trPr>
        <w:tc>
          <w:tcPr>
            <w:tcW w:w="3529" w:type="dxa"/>
          </w:tcPr>
          <w:p w:rsidR="00013225" w:rsidRPr="00970771" w:rsidRDefault="00B00B15" w:rsidP="00414099">
            <w:pPr>
              <w:spacing w:after="0" w:line="240" w:lineRule="auto"/>
              <w:rPr>
                <w:rFonts w:cs="Arial"/>
              </w:rPr>
            </w:pPr>
            <w:r w:rsidRPr="00970771">
              <w:rPr>
                <w:rFonts w:cs="Arial"/>
              </w:rPr>
              <w:t>Patrimonio Anterior 201</w:t>
            </w:r>
            <w:r w:rsidR="000C60B1">
              <w:rPr>
                <w:rFonts w:cs="Arial"/>
              </w:rPr>
              <w:t>6</w:t>
            </w:r>
          </w:p>
        </w:tc>
        <w:tc>
          <w:tcPr>
            <w:tcW w:w="1525" w:type="dxa"/>
          </w:tcPr>
          <w:p w:rsidR="00013225" w:rsidRPr="007F6795" w:rsidRDefault="00514B14" w:rsidP="000C60B1">
            <w:pPr>
              <w:spacing w:after="0" w:line="240" w:lineRule="auto"/>
              <w:jc w:val="right"/>
              <w:rPr>
                <w:color w:val="000000"/>
                <w:lang w:val="es-ES"/>
              </w:rPr>
            </w:pPr>
            <w:r>
              <w:rPr>
                <w:color w:val="000000"/>
                <w:lang w:val="es-ES"/>
              </w:rPr>
              <w:t>$</w:t>
            </w:r>
            <w:r w:rsidR="000C60B1" w:rsidRPr="000C60B1">
              <w:rPr>
                <w:color w:val="000000"/>
                <w:lang w:val="es-ES"/>
              </w:rPr>
              <w:t>1</w:t>
            </w:r>
            <w:r w:rsidR="000C60B1">
              <w:rPr>
                <w:color w:val="000000"/>
                <w:lang w:val="es-ES"/>
              </w:rPr>
              <w:t>,</w:t>
            </w:r>
            <w:r w:rsidR="000C60B1" w:rsidRPr="000C60B1">
              <w:rPr>
                <w:color w:val="000000"/>
                <w:lang w:val="es-ES"/>
              </w:rPr>
              <w:t>613</w:t>
            </w:r>
            <w:r w:rsidR="000C60B1">
              <w:rPr>
                <w:color w:val="000000"/>
                <w:lang w:val="es-ES"/>
              </w:rPr>
              <w:t>,</w:t>
            </w:r>
            <w:r w:rsidR="000C60B1" w:rsidRPr="000C60B1">
              <w:rPr>
                <w:color w:val="000000"/>
                <w:lang w:val="es-ES"/>
              </w:rPr>
              <w:t>586.77</w:t>
            </w:r>
          </w:p>
        </w:tc>
      </w:tr>
      <w:tr w:rsidR="00013225" w:rsidRPr="006D2C56" w:rsidTr="00414099">
        <w:trPr>
          <w:jc w:val="center"/>
        </w:trPr>
        <w:tc>
          <w:tcPr>
            <w:tcW w:w="3529" w:type="dxa"/>
          </w:tcPr>
          <w:p w:rsidR="00013225" w:rsidRPr="00970771" w:rsidRDefault="00CF0B3D" w:rsidP="00414099">
            <w:pPr>
              <w:spacing w:after="0" w:line="240" w:lineRule="auto"/>
              <w:rPr>
                <w:rFonts w:cs="Arial"/>
              </w:rPr>
            </w:pPr>
            <w:r w:rsidRPr="00970771">
              <w:rPr>
                <w:rFonts w:cs="Arial"/>
              </w:rPr>
              <w:t>Aportaciones 201</w:t>
            </w:r>
            <w:r w:rsidR="000C60B1">
              <w:rPr>
                <w:rFonts w:cs="Arial"/>
              </w:rPr>
              <w:t>7</w:t>
            </w:r>
          </w:p>
        </w:tc>
        <w:tc>
          <w:tcPr>
            <w:tcW w:w="1525" w:type="dxa"/>
          </w:tcPr>
          <w:p w:rsidR="00013225" w:rsidRPr="007F6795" w:rsidRDefault="00514B14" w:rsidP="00B00B15">
            <w:pPr>
              <w:spacing w:after="0" w:line="240" w:lineRule="auto"/>
              <w:jc w:val="right"/>
              <w:rPr>
                <w:rFonts w:cs="Arial"/>
              </w:rPr>
            </w:pPr>
            <w:r>
              <w:rPr>
                <w:rFonts w:cs="Arial"/>
              </w:rPr>
              <w:t>$</w:t>
            </w:r>
            <w:r w:rsidR="00013225" w:rsidRPr="007F6795">
              <w:rPr>
                <w:rFonts w:cs="Arial"/>
              </w:rPr>
              <w:t xml:space="preserve">        </w:t>
            </w:r>
            <w:r w:rsidR="000C60B1">
              <w:rPr>
                <w:rFonts w:cs="Arial"/>
              </w:rPr>
              <w:t xml:space="preserve">    </w:t>
            </w:r>
            <w:r w:rsidR="00013225" w:rsidRPr="007F6795">
              <w:rPr>
                <w:rFonts w:cs="Arial"/>
              </w:rPr>
              <w:t xml:space="preserve">    0</w:t>
            </w:r>
            <w:r w:rsidR="00B00B15" w:rsidRPr="007F6795">
              <w:rPr>
                <w:rFonts w:cs="Arial"/>
              </w:rPr>
              <w:t>.00</w:t>
            </w:r>
          </w:p>
        </w:tc>
      </w:tr>
      <w:tr w:rsidR="00013225" w:rsidRPr="00414099" w:rsidTr="00E309E9">
        <w:trPr>
          <w:jc w:val="center"/>
        </w:trPr>
        <w:tc>
          <w:tcPr>
            <w:tcW w:w="3529" w:type="dxa"/>
            <w:shd w:val="clear" w:color="auto" w:fill="BFBFBF" w:themeFill="background1" w:themeFillShade="BF"/>
          </w:tcPr>
          <w:p w:rsidR="00013225" w:rsidRPr="000C60B1" w:rsidRDefault="00013225" w:rsidP="00414099">
            <w:pPr>
              <w:spacing w:after="0" w:line="240" w:lineRule="auto"/>
              <w:rPr>
                <w:rFonts w:eastAsia="Times New Roman" w:cs="Arial"/>
                <w:b/>
                <w:bCs/>
                <w:color w:val="000000"/>
                <w:lang w:eastAsia="es-MX"/>
              </w:rPr>
            </w:pPr>
            <w:r w:rsidRPr="000C60B1">
              <w:rPr>
                <w:rFonts w:eastAsia="Times New Roman" w:cs="Arial"/>
                <w:b/>
                <w:bCs/>
                <w:color w:val="000000"/>
                <w:lang w:eastAsia="es-MX"/>
              </w:rPr>
              <w:t>Patrimonio Contribuido Actual</w:t>
            </w:r>
          </w:p>
        </w:tc>
        <w:tc>
          <w:tcPr>
            <w:tcW w:w="1525" w:type="dxa"/>
            <w:shd w:val="clear" w:color="auto" w:fill="BFBFBF" w:themeFill="background1" w:themeFillShade="BF"/>
          </w:tcPr>
          <w:p w:rsidR="00013225" w:rsidRPr="000C60B1" w:rsidRDefault="00514B14" w:rsidP="00B00B15">
            <w:pPr>
              <w:spacing w:after="0" w:line="240" w:lineRule="auto"/>
              <w:jc w:val="right"/>
              <w:rPr>
                <w:rFonts w:eastAsia="Times New Roman" w:cs="Arial"/>
                <w:b/>
                <w:bCs/>
                <w:color w:val="000000"/>
                <w:lang w:eastAsia="es-MX"/>
              </w:rPr>
            </w:pPr>
            <w:r w:rsidRPr="000C60B1">
              <w:rPr>
                <w:rFonts w:eastAsia="Times New Roman" w:cs="Arial"/>
                <w:b/>
                <w:bCs/>
                <w:color w:val="000000"/>
                <w:lang w:eastAsia="es-MX"/>
              </w:rPr>
              <w:t>$1,613,586.77</w:t>
            </w:r>
          </w:p>
        </w:tc>
      </w:tr>
    </w:tbl>
    <w:p w:rsidR="00013225" w:rsidRPr="00784A74" w:rsidRDefault="00013225" w:rsidP="00013225">
      <w:pPr>
        <w:spacing w:after="0" w:line="240" w:lineRule="auto"/>
        <w:jc w:val="center"/>
        <w:rPr>
          <w:b/>
          <w:u w:val="single"/>
        </w:rPr>
      </w:pPr>
    </w:p>
    <w:p w:rsidR="00013225" w:rsidRDefault="00013225" w:rsidP="00013225">
      <w:pPr>
        <w:spacing w:after="0" w:line="240" w:lineRule="auto"/>
      </w:pPr>
      <w:r w:rsidRPr="000E2539">
        <w:rPr>
          <w:b/>
        </w:rPr>
        <w:t>EVHO-02</w:t>
      </w:r>
      <w:r w:rsidR="000E2539">
        <w:rPr>
          <w:b/>
        </w:rPr>
        <w:t>.-</w:t>
      </w:r>
      <w:r>
        <w:t xml:space="preserve"> </w:t>
      </w:r>
      <w:r w:rsidRPr="00784A74">
        <w:t>Patrimonio Generado</w:t>
      </w:r>
    </w:p>
    <w:p w:rsidR="008E1B5E" w:rsidRPr="00784A74" w:rsidRDefault="008E1B5E" w:rsidP="00013225">
      <w:pPr>
        <w:spacing w:after="0" w:line="240" w:lineRule="auto"/>
      </w:pPr>
    </w:p>
    <w:p w:rsidR="00013225" w:rsidRPr="00784A74" w:rsidRDefault="00013225" w:rsidP="00013225">
      <w:pPr>
        <w:spacing w:after="0" w:line="240" w:lineRule="auto"/>
      </w:pPr>
    </w:p>
    <w:tbl>
      <w:tblPr>
        <w:tblW w:w="5828" w:type="dxa"/>
        <w:jc w:val="center"/>
        <w:tblInd w:w="51" w:type="dxa"/>
        <w:tblCellMar>
          <w:left w:w="70" w:type="dxa"/>
          <w:right w:w="70" w:type="dxa"/>
        </w:tblCellMar>
        <w:tblLook w:val="04A0"/>
      </w:tblPr>
      <w:tblGrid>
        <w:gridCol w:w="4219"/>
        <w:gridCol w:w="1609"/>
      </w:tblGrid>
      <w:tr w:rsidR="000C60B1" w:rsidRPr="000C60B1" w:rsidTr="000C60B1">
        <w:trPr>
          <w:trHeight w:val="123"/>
          <w:jc w:val="center"/>
        </w:trPr>
        <w:tc>
          <w:tcPr>
            <w:tcW w:w="421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bookmarkEnd w:id="0"/>
          <w:bookmarkEnd w:id="1"/>
          <w:bookmarkEnd w:id="2"/>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Denominación</w:t>
            </w:r>
          </w:p>
        </w:tc>
        <w:tc>
          <w:tcPr>
            <w:tcW w:w="1609" w:type="dxa"/>
            <w:tcBorders>
              <w:top w:val="single" w:sz="8" w:space="0" w:color="auto"/>
              <w:left w:val="nil"/>
              <w:bottom w:val="single" w:sz="8" w:space="0" w:color="auto"/>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Importe</w:t>
            </w:r>
          </w:p>
        </w:tc>
      </w:tr>
      <w:tr w:rsidR="000C60B1" w:rsidRPr="000C60B1" w:rsidTr="000C60B1">
        <w:trPr>
          <w:trHeight w:val="240"/>
          <w:jc w:val="center"/>
        </w:trPr>
        <w:tc>
          <w:tcPr>
            <w:tcW w:w="4219" w:type="dxa"/>
            <w:tcBorders>
              <w:top w:val="nil"/>
              <w:left w:val="single" w:sz="8" w:space="0" w:color="auto"/>
              <w:bottom w:val="single" w:sz="8" w:space="0" w:color="auto"/>
              <w:right w:val="single" w:sz="8" w:space="0" w:color="auto"/>
            </w:tcBorders>
            <w:shd w:val="clear" w:color="auto" w:fill="auto"/>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Resultado del Ejercicio (Ahorro/ Desahorro)</w:t>
            </w:r>
          </w:p>
        </w:tc>
        <w:tc>
          <w:tcPr>
            <w:tcW w:w="1609" w:type="dxa"/>
            <w:tcBorders>
              <w:top w:val="nil"/>
              <w:left w:val="nil"/>
              <w:bottom w:val="single" w:sz="8" w:space="0" w:color="auto"/>
              <w:right w:val="single" w:sz="8" w:space="0" w:color="auto"/>
            </w:tcBorders>
            <w:shd w:val="clear" w:color="auto" w:fill="auto"/>
            <w:noWrap/>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5,889,225.92 </w:t>
            </w:r>
          </w:p>
        </w:tc>
      </w:tr>
      <w:tr w:rsidR="000C60B1" w:rsidRPr="000C60B1" w:rsidTr="000C60B1">
        <w:trPr>
          <w:trHeight w:val="123"/>
          <w:jc w:val="center"/>
        </w:trPr>
        <w:tc>
          <w:tcPr>
            <w:tcW w:w="4219" w:type="dxa"/>
            <w:tcBorders>
              <w:top w:val="nil"/>
              <w:left w:val="single" w:sz="8" w:space="0" w:color="auto"/>
              <w:bottom w:val="single" w:sz="8" w:space="0" w:color="auto"/>
              <w:right w:val="single" w:sz="8" w:space="0" w:color="auto"/>
            </w:tcBorders>
            <w:shd w:val="clear" w:color="auto" w:fill="auto"/>
            <w:noWrap/>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RESULTADOS DE EJERCICIOS ANTERIORES</w:t>
            </w:r>
          </w:p>
        </w:tc>
        <w:tc>
          <w:tcPr>
            <w:tcW w:w="1609" w:type="dxa"/>
            <w:tcBorders>
              <w:top w:val="nil"/>
              <w:left w:val="nil"/>
              <w:bottom w:val="single" w:sz="8" w:space="0" w:color="auto"/>
              <w:right w:val="single" w:sz="8" w:space="0" w:color="auto"/>
            </w:tcBorders>
            <w:shd w:val="clear" w:color="auto" w:fill="auto"/>
            <w:noWrap/>
            <w:vAlign w:val="center"/>
            <w:hideMark/>
          </w:tcPr>
          <w:p w:rsidR="000C60B1" w:rsidRPr="000C60B1" w:rsidRDefault="000C60B1" w:rsidP="000C60B1">
            <w:pPr>
              <w:spacing w:after="0" w:line="240" w:lineRule="auto"/>
              <w:rPr>
                <w:rFonts w:eastAsia="Times New Roman" w:cs="Calibri"/>
                <w:color w:val="000000"/>
                <w:lang w:eastAsia="es-MX"/>
              </w:rPr>
            </w:pPr>
            <w:r w:rsidRPr="000C60B1">
              <w:rPr>
                <w:rFonts w:eastAsia="Times New Roman" w:cs="Calibri"/>
                <w:color w:val="000000"/>
                <w:lang w:eastAsia="es-MX"/>
              </w:rPr>
              <w:t xml:space="preserve">   34,281,786.04 </w:t>
            </w:r>
          </w:p>
        </w:tc>
      </w:tr>
      <w:tr w:rsidR="000C60B1" w:rsidRPr="000C60B1" w:rsidTr="000C60B1">
        <w:trPr>
          <w:trHeight w:val="123"/>
          <w:jc w:val="center"/>
        </w:trPr>
        <w:tc>
          <w:tcPr>
            <w:tcW w:w="4219" w:type="dxa"/>
            <w:tcBorders>
              <w:top w:val="nil"/>
              <w:left w:val="single" w:sz="8" w:space="0" w:color="auto"/>
              <w:bottom w:val="single" w:sz="8" w:space="0" w:color="auto"/>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eastAsia="es-MX"/>
              </w:rPr>
              <w:t>Patrimonio Generado Actual</w:t>
            </w:r>
          </w:p>
        </w:tc>
        <w:tc>
          <w:tcPr>
            <w:tcW w:w="1609" w:type="dxa"/>
            <w:tcBorders>
              <w:top w:val="nil"/>
              <w:left w:val="nil"/>
              <w:bottom w:val="single" w:sz="8" w:space="0" w:color="auto"/>
              <w:right w:val="single" w:sz="8" w:space="0" w:color="auto"/>
            </w:tcBorders>
            <w:shd w:val="clear" w:color="000000" w:fill="BFBFBF"/>
            <w:noWrap/>
            <w:vAlign w:val="center"/>
            <w:hideMark/>
          </w:tcPr>
          <w:p w:rsidR="000C60B1" w:rsidRPr="000C60B1" w:rsidRDefault="000C60B1" w:rsidP="000C60B1">
            <w:pPr>
              <w:spacing w:after="0" w:line="240" w:lineRule="auto"/>
              <w:rPr>
                <w:rFonts w:eastAsia="Times New Roman" w:cs="Calibri"/>
                <w:b/>
                <w:bCs/>
                <w:color w:val="000000"/>
                <w:lang w:eastAsia="es-MX"/>
              </w:rPr>
            </w:pPr>
            <w:r w:rsidRPr="000C60B1">
              <w:rPr>
                <w:rFonts w:eastAsia="Times New Roman" w:cs="Arial"/>
                <w:b/>
                <w:bCs/>
                <w:color w:val="000000"/>
                <w:lang w:val="es-ES" w:eastAsia="es-MX"/>
              </w:rPr>
              <w:t xml:space="preserve">   40,171,011.96 </w:t>
            </w:r>
          </w:p>
        </w:tc>
      </w:tr>
    </w:tbl>
    <w:p w:rsidR="00F806CB" w:rsidRDefault="00F806CB" w:rsidP="00BD05A5">
      <w:pPr>
        <w:spacing w:after="0" w:line="240" w:lineRule="auto"/>
        <w:jc w:val="both"/>
        <w:rPr>
          <w:rFonts w:cs="Arial-BoldMT"/>
          <w:b/>
          <w:bCs/>
        </w:rPr>
      </w:pPr>
    </w:p>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BC643A" w:rsidRDefault="000E2539" w:rsidP="00BD05A5">
      <w:pPr>
        <w:spacing w:after="0" w:line="240" w:lineRule="auto"/>
        <w:jc w:val="both"/>
        <w:rPr>
          <w:color w:val="000000"/>
        </w:rPr>
      </w:pPr>
      <w:r>
        <w:rPr>
          <w:rFonts w:cs="Arial-BoldMT"/>
          <w:b/>
          <w:bCs/>
        </w:rPr>
        <w:t xml:space="preserve">EFE-01.- </w:t>
      </w:r>
      <w:r w:rsidRPr="000E2539">
        <w:rPr>
          <w:color w:val="000000"/>
        </w:rPr>
        <w:t xml:space="preserve">El análisis de los saldos inicial y final que figuran en la última parte del Estado de Flujo de Efectivo </w:t>
      </w:r>
    </w:p>
    <w:p w:rsidR="00BC643A" w:rsidRDefault="00E309E9" w:rsidP="00BD05A5">
      <w:pPr>
        <w:spacing w:after="0" w:line="240" w:lineRule="auto"/>
        <w:jc w:val="both"/>
        <w:rPr>
          <w:color w:val="000000"/>
        </w:rPr>
      </w:pPr>
      <w:r w:rsidRPr="000E2539">
        <w:rPr>
          <w:color w:val="000000"/>
        </w:rPr>
        <w:t>En</w:t>
      </w:r>
      <w:r w:rsidR="000E2539" w:rsidRPr="000E2539">
        <w:rPr>
          <w:color w:val="000000"/>
        </w:rPr>
        <w:t xml:space="preserve"> la cuenta de efectivo y equivalentes</w:t>
      </w:r>
      <w:r w:rsidR="000E2539">
        <w:rPr>
          <w:color w:val="000000"/>
        </w:rPr>
        <w:t>,</w:t>
      </w:r>
      <w:r w:rsidR="000E2539" w:rsidRPr="000E2539">
        <w:rPr>
          <w:color w:val="000000"/>
        </w:rPr>
        <w:t xml:space="preserve"> es como sigue:</w:t>
      </w:r>
    </w:p>
    <w:p w:rsidR="00E875D9" w:rsidRPr="00BC643A" w:rsidRDefault="00E875D9" w:rsidP="00BD05A5">
      <w:pPr>
        <w:spacing w:after="0" w:line="240" w:lineRule="auto"/>
        <w:jc w:val="both"/>
        <w:rPr>
          <w:color w:val="000000"/>
        </w:rPr>
      </w:pPr>
    </w:p>
    <w:p w:rsidR="00900026" w:rsidRPr="00784A74" w:rsidRDefault="00900026" w:rsidP="00BD05A5">
      <w:pPr>
        <w:spacing w:after="0" w:line="240" w:lineRule="auto"/>
        <w:jc w:val="both"/>
        <w:rPr>
          <w:rFonts w:cs="Arial-BoldMT"/>
          <w:b/>
          <w:bCs/>
        </w:rPr>
      </w:pPr>
    </w:p>
    <w:tbl>
      <w:tblPr>
        <w:tblW w:w="7714" w:type="dxa"/>
        <w:tblInd w:w="51" w:type="dxa"/>
        <w:tblCellMar>
          <w:left w:w="70" w:type="dxa"/>
          <w:right w:w="70" w:type="dxa"/>
        </w:tblCellMar>
        <w:tblLook w:val="04A0"/>
      </w:tblPr>
      <w:tblGrid>
        <w:gridCol w:w="3345"/>
        <w:gridCol w:w="2072"/>
        <w:gridCol w:w="2297"/>
      </w:tblGrid>
      <w:tr w:rsidR="00861795" w:rsidRPr="00861795" w:rsidTr="00E309E9">
        <w:trPr>
          <w:trHeight w:val="193"/>
        </w:trPr>
        <w:tc>
          <w:tcPr>
            <w:tcW w:w="3345" w:type="dxa"/>
            <w:tcBorders>
              <w:top w:val="single" w:sz="8" w:space="0" w:color="auto"/>
              <w:left w:val="single" w:sz="8" w:space="0" w:color="auto"/>
              <w:bottom w:val="single" w:sz="8" w:space="0" w:color="auto"/>
              <w:right w:val="single" w:sz="8" w:space="0" w:color="auto"/>
            </w:tcBorders>
            <w:shd w:val="clear" w:color="000000" w:fill="D8D8D8"/>
            <w:noWrap/>
            <w:hideMark/>
          </w:tcPr>
          <w:p w:rsidR="00861795" w:rsidRPr="00861795" w:rsidRDefault="00364AEE" w:rsidP="00861795">
            <w:pPr>
              <w:spacing w:after="0" w:line="240" w:lineRule="auto"/>
              <w:jc w:val="center"/>
              <w:rPr>
                <w:rFonts w:eastAsia="Times New Roman" w:cs="Calibri"/>
                <w:b/>
                <w:bCs/>
                <w:color w:val="000000"/>
                <w:lang w:eastAsia="es-MX"/>
              </w:rPr>
            </w:pPr>
            <w:r>
              <w:rPr>
                <w:rFonts w:eastAsia="Times New Roman" w:cs="Calibri"/>
                <w:b/>
                <w:bCs/>
                <w:noProof/>
                <w:color w:val="000000"/>
                <w:lang w:eastAsia="es-MX"/>
              </w:rPr>
              <w:pict>
                <v:shapetype id="_x0000_t32" coordsize="21600,21600" o:spt="32" o:oned="t" path="m,l21600,21600e" filled="f">
                  <v:path arrowok="t" fillok="f" o:connecttype="none"/>
                  <o:lock v:ext="edit" shapetype="t"/>
                </v:shapetype>
                <v:shape id="_x0000_s1026" type="#_x0000_t32" style="position:absolute;left:0;text-align:left;margin-left:-3.45pt;margin-top:5.1pt;width:0;height:89.75pt;z-index:1" o:connectortype="straight"/>
              </w:pict>
            </w:r>
            <w:r w:rsidR="00861795" w:rsidRPr="00861795">
              <w:rPr>
                <w:rFonts w:eastAsia="Times New Roman" w:cs="Calibri"/>
                <w:b/>
                <w:bCs/>
                <w:color w:val="000000"/>
                <w:lang w:eastAsia="es-MX"/>
              </w:rPr>
              <w:t>DESCR</w:t>
            </w:r>
            <w:r w:rsidR="00DB591A">
              <w:rPr>
                <w:rFonts w:eastAsia="Times New Roman" w:cs="Calibri"/>
                <w:b/>
                <w:bCs/>
                <w:color w:val="000000"/>
                <w:lang w:eastAsia="es-MX"/>
              </w:rPr>
              <w:t>I</w:t>
            </w:r>
            <w:r w:rsidR="00861795" w:rsidRPr="00861795">
              <w:rPr>
                <w:rFonts w:eastAsia="Times New Roman" w:cs="Calibri"/>
                <w:b/>
                <w:bCs/>
                <w:color w:val="000000"/>
                <w:lang w:eastAsia="es-MX"/>
              </w:rPr>
              <w:t>PCION DE LA CUENTA</w:t>
            </w:r>
          </w:p>
        </w:tc>
        <w:tc>
          <w:tcPr>
            <w:tcW w:w="2072"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E309E9" w:rsidP="00861795">
            <w:pPr>
              <w:spacing w:after="0" w:line="240" w:lineRule="auto"/>
              <w:rPr>
                <w:rFonts w:eastAsia="Times New Roman" w:cs="Calibri"/>
                <w:b/>
                <w:bCs/>
                <w:color w:val="000000"/>
                <w:lang w:eastAsia="es-MX"/>
              </w:rPr>
            </w:pPr>
            <w:r>
              <w:rPr>
                <w:rFonts w:eastAsia="Times New Roman" w:cs="Calibri"/>
                <w:b/>
                <w:bCs/>
                <w:color w:val="000000"/>
                <w:lang w:eastAsia="es-MX"/>
              </w:rPr>
              <w:t>1° trimestre 2017</w:t>
            </w:r>
          </w:p>
        </w:tc>
        <w:tc>
          <w:tcPr>
            <w:tcW w:w="2297" w:type="dxa"/>
            <w:tcBorders>
              <w:top w:val="single" w:sz="8" w:space="0" w:color="auto"/>
              <w:left w:val="nil"/>
              <w:bottom w:val="single" w:sz="8" w:space="0" w:color="auto"/>
              <w:right w:val="single" w:sz="8" w:space="0" w:color="auto"/>
            </w:tcBorders>
            <w:shd w:val="clear" w:color="000000" w:fill="D8D8D8"/>
            <w:noWrap/>
            <w:hideMark/>
          </w:tcPr>
          <w:p w:rsidR="00861795" w:rsidRPr="00861795" w:rsidRDefault="00E309E9" w:rsidP="00861795">
            <w:pPr>
              <w:spacing w:after="0" w:line="240" w:lineRule="auto"/>
              <w:rPr>
                <w:rFonts w:eastAsia="Times New Roman" w:cs="Calibri"/>
                <w:b/>
                <w:bCs/>
                <w:color w:val="000000"/>
                <w:lang w:eastAsia="es-MX"/>
              </w:rPr>
            </w:pPr>
            <w:r>
              <w:rPr>
                <w:rFonts w:eastAsia="Times New Roman" w:cs="Calibri"/>
                <w:b/>
                <w:bCs/>
                <w:color w:val="000000"/>
                <w:lang w:eastAsia="es-MX"/>
              </w:rPr>
              <w:t>1° trimestre 2016</w:t>
            </w:r>
          </w:p>
        </w:tc>
      </w:tr>
      <w:tr w:rsidR="00E309E9" w:rsidRPr="00861795" w:rsidTr="00E309E9">
        <w:trPr>
          <w:trHeight w:val="229"/>
        </w:trPr>
        <w:tc>
          <w:tcPr>
            <w:tcW w:w="3345" w:type="dxa"/>
            <w:tcBorders>
              <w:top w:val="nil"/>
              <w:left w:val="nil"/>
              <w:bottom w:val="single" w:sz="8" w:space="0" w:color="auto"/>
              <w:right w:val="single" w:sz="8" w:space="0" w:color="auto"/>
            </w:tcBorders>
            <w:shd w:val="clear" w:color="auto" w:fill="auto"/>
            <w:hideMark/>
          </w:tcPr>
          <w:p w:rsidR="00E309E9" w:rsidRPr="00DB591A" w:rsidRDefault="00E309E9" w:rsidP="00861795">
            <w:pPr>
              <w:spacing w:after="0" w:line="240" w:lineRule="auto"/>
              <w:rPr>
                <w:rFonts w:eastAsia="Times New Roman"/>
                <w:color w:val="000000"/>
              </w:rPr>
            </w:pPr>
            <w:r w:rsidRPr="00DB591A">
              <w:rPr>
                <w:rFonts w:eastAsia="Times New Roman"/>
                <w:color w:val="000000"/>
              </w:rPr>
              <w:t xml:space="preserve">FONDOS FIJOS DE CAJA </w:t>
            </w:r>
            <w:r>
              <w:rPr>
                <w:rFonts w:eastAsia="Times New Roman"/>
                <w:color w:val="000000"/>
              </w:rPr>
              <w:t>–</w:t>
            </w:r>
            <w:r w:rsidRPr="00DB591A">
              <w:rPr>
                <w:rFonts w:eastAsia="Times New Roman"/>
                <w:color w:val="000000"/>
              </w:rPr>
              <w:t xml:space="preserve"> EMPLEADOS</w:t>
            </w:r>
          </w:p>
        </w:tc>
        <w:tc>
          <w:tcPr>
            <w:tcW w:w="2072"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17,350.00</w:t>
            </w:r>
          </w:p>
        </w:tc>
        <w:tc>
          <w:tcPr>
            <w:tcW w:w="2297"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17,350.00</w:t>
            </w:r>
          </w:p>
        </w:tc>
      </w:tr>
      <w:tr w:rsidR="00E309E9" w:rsidRPr="00861795" w:rsidTr="00E309E9">
        <w:trPr>
          <w:trHeight w:val="229"/>
        </w:trPr>
        <w:tc>
          <w:tcPr>
            <w:tcW w:w="3345" w:type="dxa"/>
            <w:tcBorders>
              <w:top w:val="nil"/>
              <w:left w:val="nil"/>
              <w:bottom w:val="single" w:sz="8" w:space="0" w:color="auto"/>
              <w:right w:val="single" w:sz="8" w:space="0" w:color="auto"/>
            </w:tcBorders>
            <w:shd w:val="clear" w:color="auto" w:fill="auto"/>
            <w:hideMark/>
          </w:tcPr>
          <w:p w:rsidR="00E309E9" w:rsidRPr="00DB591A" w:rsidRDefault="00E309E9" w:rsidP="00861795">
            <w:pPr>
              <w:spacing w:after="0" w:line="240" w:lineRule="auto"/>
              <w:rPr>
                <w:rFonts w:eastAsia="Times New Roman"/>
                <w:color w:val="000000"/>
              </w:rPr>
            </w:pPr>
            <w:r w:rsidRPr="00DB591A">
              <w:rPr>
                <w:rFonts w:eastAsia="Times New Roman"/>
                <w:color w:val="000000"/>
              </w:rPr>
              <w:t>BANCOS MONEDA NACIONAL - CUENTAS BANCARIAS</w:t>
            </w:r>
          </w:p>
        </w:tc>
        <w:tc>
          <w:tcPr>
            <w:tcW w:w="2072"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4,857,522.23</w:t>
            </w:r>
          </w:p>
        </w:tc>
        <w:tc>
          <w:tcPr>
            <w:tcW w:w="2297"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1,616,287.26</w:t>
            </w:r>
          </w:p>
        </w:tc>
      </w:tr>
      <w:tr w:rsidR="00E309E9" w:rsidRPr="00861795" w:rsidTr="00E309E9">
        <w:trPr>
          <w:trHeight w:val="229"/>
        </w:trPr>
        <w:tc>
          <w:tcPr>
            <w:tcW w:w="3345" w:type="dxa"/>
            <w:tcBorders>
              <w:top w:val="nil"/>
              <w:left w:val="nil"/>
              <w:bottom w:val="single" w:sz="8" w:space="0" w:color="auto"/>
              <w:right w:val="single" w:sz="8" w:space="0" w:color="auto"/>
            </w:tcBorders>
            <w:shd w:val="clear" w:color="auto" w:fill="auto"/>
            <w:hideMark/>
          </w:tcPr>
          <w:p w:rsidR="00E309E9" w:rsidRPr="00DB591A" w:rsidRDefault="00E309E9" w:rsidP="00861795">
            <w:pPr>
              <w:spacing w:after="0" w:line="240" w:lineRule="auto"/>
              <w:rPr>
                <w:rFonts w:eastAsia="Times New Roman"/>
                <w:color w:val="000000"/>
              </w:rPr>
            </w:pPr>
            <w:r w:rsidRPr="00DB591A">
              <w:rPr>
                <w:rFonts w:eastAsia="Times New Roman"/>
                <w:color w:val="000000"/>
              </w:rPr>
              <w:t xml:space="preserve">DEPÓSITOS EN GARANTÍA </w:t>
            </w:r>
            <w:r>
              <w:rPr>
                <w:rFonts w:eastAsia="Times New Roman"/>
                <w:color w:val="000000"/>
              </w:rPr>
              <w:t>–</w:t>
            </w:r>
            <w:r w:rsidRPr="00DB591A">
              <w:rPr>
                <w:rFonts w:eastAsia="Times New Roman"/>
                <w:color w:val="000000"/>
              </w:rPr>
              <w:t xml:space="preserve"> PRESTADORES DE SERVICIO</w:t>
            </w:r>
          </w:p>
        </w:tc>
        <w:tc>
          <w:tcPr>
            <w:tcW w:w="2072"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46,369.00</w:t>
            </w:r>
          </w:p>
        </w:tc>
        <w:tc>
          <w:tcPr>
            <w:tcW w:w="2297" w:type="dxa"/>
            <w:tcBorders>
              <w:top w:val="nil"/>
              <w:left w:val="nil"/>
              <w:bottom w:val="single" w:sz="8" w:space="0" w:color="auto"/>
              <w:right w:val="single" w:sz="8" w:space="0" w:color="auto"/>
            </w:tcBorders>
            <w:shd w:val="clear" w:color="auto" w:fill="auto"/>
            <w:vAlign w:val="center"/>
            <w:hideMark/>
          </w:tcPr>
          <w:p w:rsidR="00E309E9" w:rsidRDefault="00E309E9" w:rsidP="00E309E9">
            <w:pPr>
              <w:jc w:val="right"/>
              <w:rPr>
                <w:rFonts w:cs="Calibri"/>
                <w:color w:val="000000"/>
              </w:rPr>
            </w:pPr>
            <w:r>
              <w:rPr>
                <w:rFonts w:cs="Calibri"/>
                <w:color w:val="000000"/>
              </w:rPr>
              <w:t>20,424.00</w:t>
            </w:r>
          </w:p>
        </w:tc>
      </w:tr>
      <w:tr w:rsidR="00E309E9" w:rsidRPr="00861795" w:rsidTr="00E309E9">
        <w:trPr>
          <w:trHeight w:val="376"/>
        </w:trPr>
        <w:tc>
          <w:tcPr>
            <w:tcW w:w="3345" w:type="dxa"/>
            <w:tcBorders>
              <w:top w:val="nil"/>
              <w:left w:val="single" w:sz="8" w:space="0" w:color="auto"/>
              <w:bottom w:val="single" w:sz="8" w:space="0" w:color="auto"/>
              <w:right w:val="single" w:sz="8" w:space="0" w:color="auto"/>
            </w:tcBorders>
            <w:shd w:val="clear" w:color="000000" w:fill="BFBFBF"/>
            <w:hideMark/>
          </w:tcPr>
          <w:p w:rsidR="00E309E9" w:rsidRPr="00861795" w:rsidRDefault="00E309E9" w:rsidP="00861795">
            <w:pPr>
              <w:spacing w:after="0" w:line="240" w:lineRule="auto"/>
              <w:rPr>
                <w:rFonts w:eastAsia="Times New Roman" w:cs="Calibri"/>
                <w:b/>
                <w:bCs/>
                <w:color w:val="000000"/>
                <w:lang w:eastAsia="es-MX"/>
              </w:rPr>
            </w:pPr>
            <w:r w:rsidRPr="00861795">
              <w:rPr>
                <w:rFonts w:eastAsia="Times New Roman" w:cs="Calibri"/>
                <w:b/>
                <w:bCs/>
                <w:color w:val="000000"/>
                <w:lang w:eastAsia="es-MX"/>
              </w:rPr>
              <w:t xml:space="preserve">   Total de Efectivo y Equivalentes</w:t>
            </w:r>
          </w:p>
        </w:tc>
        <w:tc>
          <w:tcPr>
            <w:tcW w:w="2072" w:type="dxa"/>
            <w:tcBorders>
              <w:top w:val="nil"/>
              <w:left w:val="nil"/>
              <w:bottom w:val="single" w:sz="8" w:space="0" w:color="auto"/>
              <w:right w:val="single" w:sz="8" w:space="0" w:color="auto"/>
            </w:tcBorders>
            <w:shd w:val="clear" w:color="000000" w:fill="BFBFBF"/>
            <w:vAlign w:val="center"/>
            <w:hideMark/>
          </w:tcPr>
          <w:p w:rsidR="00E309E9" w:rsidRDefault="00E309E9" w:rsidP="00E309E9">
            <w:pPr>
              <w:jc w:val="right"/>
              <w:rPr>
                <w:rFonts w:cs="Calibri"/>
                <w:b/>
                <w:bCs/>
                <w:color w:val="000000"/>
              </w:rPr>
            </w:pPr>
            <w:r>
              <w:rPr>
                <w:rFonts w:cs="Calibri"/>
                <w:b/>
                <w:bCs/>
                <w:color w:val="000000"/>
              </w:rPr>
              <w:t xml:space="preserve">         4,921,241.23 </w:t>
            </w:r>
          </w:p>
        </w:tc>
        <w:tc>
          <w:tcPr>
            <w:tcW w:w="2297" w:type="dxa"/>
            <w:tcBorders>
              <w:top w:val="nil"/>
              <w:left w:val="nil"/>
              <w:bottom w:val="single" w:sz="8" w:space="0" w:color="auto"/>
              <w:right w:val="single" w:sz="8" w:space="0" w:color="auto"/>
            </w:tcBorders>
            <w:shd w:val="clear" w:color="000000" w:fill="BFBFBF"/>
            <w:vAlign w:val="center"/>
            <w:hideMark/>
          </w:tcPr>
          <w:p w:rsidR="00E309E9" w:rsidRDefault="00E309E9" w:rsidP="00E309E9">
            <w:pPr>
              <w:jc w:val="right"/>
              <w:rPr>
                <w:rFonts w:cs="Calibri"/>
                <w:b/>
                <w:bCs/>
                <w:color w:val="000000"/>
              </w:rPr>
            </w:pPr>
            <w:r>
              <w:rPr>
                <w:rFonts w:cs="Calibri"/>
                <w:b/>
                <w:bCs/>
                <w:color w:val="000000"/>
              </w:rPr>
              <w:t xml:space="preserve">         1,654,061.26 </w:t>
            </w:r>
          </w:p>
        </w:tc>
      </w:tr>
    </w:tbl>
    <w:p w:rsidR="00900026" w:rsidRDefault="00900026" w:rsidP="000B440B">
      <w:pPr>
        <w:spacing w:after="0" w:line="240" w:lineRule="auto"/>
        <w:jc w:val="both"/>
        <w:rPr>
          <w:rFonts w:cs="Arial-BoldMT"/>
          <w:b/>
          <w:bCs/>
        </w:rPr>
      </w:pPr>
    </w:p>
    <w:p w:rsidR="00E875D9" w:rsidRPr="00587CD9" w:rsidRDefault="00900026" w:rsidP="009C1E0F">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8243" w:type="dxa"/>
        <w:tblInd w:w="60" w:type="dxa"/>
        <w:tblCellMar>
          <w:left w:w="70" w:type="dxa"/>
          <w:right w:w="70" w:type="dxa"/>
        </w:tblCellMar>
        <w:tblLook w:val="04A0"/>
      </w:tblPr>
      <w:tblGrid>
        <w:gridCol w:w="5457"/>
        <w:gridCol w:w="1393"/>
        <w:gridCol w:w="1393"/>
      </w:tblGrid>
      <w:tr w:rsidR="00BA6602" w:rsidRPr="00BA6602" w:rsidTr="00BA6602">
        <w:trPr>
          <w:trHeight w:val="465"/>
        </w:trPr>
        <w:tc>
          <w:tcPr>
            <w:tcW w:w="5457" w:type="dxa"/>
            <w:tcBorders>
              <w:top w:val="single" w:sz="8" w:space="0" w:color="auto"/>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6"/>
                <w:szCs w:val="16"/>
                <w:lang w:eastAsia="es-MX"/>
              </w:rPr>
            </w:pPr>
            <w:r w:rsidRPr="00BA6602">
              <w:rPr>
                <w:rFonts w:ascii="Arial" w:eastAsia="Times New Roman" w:hAnsi="Arial" w:cs="Arial"/>
                <w:b/>
                <w:bCs/>
                <w:color w:val="000000"/>
                <w:sz w:val="16"/>
                <w:szCs w:val="16"/>
                <w:lang w:eastAsia="es-MX"/>
              </w:rPr>
              <w:t>DESCRIPCION DE LA CUENTA</w:t>
            </w:r>
          </w:p>
        </w:tc>
        <w:tc>
          <w:tcPr>
            <w:tcW w:w="1393" w:type="dxa"/>
            <w:tcBorders>
              <w:top w:val="single" w:sz="8" w:space="0" w:color="auto"/>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6"/>
                <w:szCs w:val="16"/>
                <w:lang w:eastAsia="es-MX"/>
              </w:rPr>
            </w:pPr>
            <w:r w:rsidRPr="00BA6602">
              <w:rPr>
                <w:rFonts w:ascii="Arial" w:eastAsia="Times New Roman" w:hAnsi="Arial" w:cs="Arial"/>
                <w:b/>
                <w:bCs/>
                <w:color w:val="000000"/>
                <w:sz w:val="16"/>
                <w:szCs w:val="16"/>
                <w:lang w:eastAsia="es-MX"/>
              </w:rPr>
              <w:t>PRIMER TRIMESTRE</w:t>
            </w:r>
          </w:p>
        </w:tc>
        <w:tc>
          <w:tcPr>
            <w:tcW w:w="1393" w:type="dxa"/>
            <w:tcBorders>
              <w:top w:val="single" w:sz="8" w:space="0" w:color="auto"/>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6"/>
                <w:szCs w:val="16"/>
                <w:lang w:eastAsia="es-MX"/>
              </w:rPr>
            </w:pPr>
            <w:r w:rsidRPr="00BA6602">
              <w:rPr>
                <w:rFonts w:ascii="Arial" w:eastAsia="Times New Roman" w:hAnsi="Arial" w:cs="Arial"/>
                <w:b/>
                <w:bCs/>
                <w:color w:val="000000"/>
                <w:sz w:val="16"/>
                <w:szCs w:val="16"/>
                <w:lang w:eastAsia="es-MX"/>
              </w:rPr>
              <w:t>CAPITAL DEL SECTOR CENTRAL</w:t>
            </w:r>
          </w:p>
        </w:tc>
      </w:tr>
      <w:tr w:rsidR="00BA6602" w:rsidRPr="00BA6602" w:rsidTr="00BA6602">
        <w:trPr>
          <w:trHeight w:val="334"/>
        </w:trPr>
        <w:tc>
          <w:tcPr>
            <w:tcW w:w="5457"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DEPRECIACIÓN ACUMULADA DE MOBILIARIO Y EQUIPO DE ADMINISTRACIÓN</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13,451.11</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100%</w:t>
            </w:r>
          </w:p>
        </w:tc>
      </w:tr>
      <w:tr w:rsidR="00BA6602" w:rsidRPr="00BA6602" w:rsidTr="00BA6602">
        <w:trPr>
          <w:trHeight w:val="334"/>
        </w:trPr>
        <w:tc>
          <w:tcPr>
            <w:tcW w:w="5457"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DEPRECIACIÓN ACUMULADA DE EQUIPO DE TRANSPORTE</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36,908.68</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100%</w:t>
            </w:r>
          </w:p>
        </w:tc>
      </w:tr>
      <w:tr w:rsidR="00BA6602" w:rsidRPr="00BA6602" w:rsidTr="00BA6602">
        <w:trPr>
          <w:trHeight w:val="334"/>
        </w:trPr>
        <w:tc>
          <w:tcPr>
            <w:tcW w:w="5457"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DEPRECIACIÓN ACUMULADA DE EQUIPO DE DEFENSA Y SEGURIDAD</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407.96</w:t>
            </w:r>
          </w:p>
        </w:tc>
        <w:tc>
          <w:tcPr>
            <w:tcW w:w="1393"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100%</w:t>
            </w:r>
          </w:p>
        </w:tc>
      </w:tr>
      <w:tr w:rsidR="00BA6602" w:rsidRPr="00BA6602" w:rsidTr="00BA6602">
        <w:trPr>
          <w:trHeight w:val="414"/>
        </w:trPr>
        <w:tc>
          <w:tcPr>
            <w:tcW w:w="5457" w:type="dxa"/>
            <w:tcBorders>
              <w:top w:val="nil"/>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eastAsia="Times New Roman" w:cs="Calibri"/>
                <w:b/>
                <w:bCs/>
                <w:color w:val="000000"/>
                <w:lang w:eastAsia="es-MX"/>
              </w:rPr>
            </w:pPr>
            <w:r w:rsidRPr="00BA6602">
              <w:rPr>
                <w:rFonts w:eastAsia="Times New Roman" w:cs="Calibri"/>
                <w:b/>
                <w:bCs/>
                <w:color w:val="000000"/>
                <w:lang w:eastAsia="es-MX"/>
              </w:rPr>
              <w:t xml:space="preserve">TOTAL DE ADQUISICIÓN DE BIENES MUEBLES E </w:t>
            </w:r>
            <w:r w:rsidRPr="00BA6602">
              <w:rPr>
                <w:rFonts w:eastAsia="Times New Roman" w:cs="Calibri"/>
                <w:b/>
                <w:bCs/>
                <w:color w:val="000000"/>
                <w:lang w:eastAsia="es-MX"/>
              </w:rPr>
              <w:lastRenderedPageBreak/>
              <w:t>INMUEBLES</w:t>
            </w:r>
          </w:p>
        </w:tc>
        <w:tc>
          <w:tcPr>
            <w:tcW w:w="1393"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eastAsia="Times New Roman" w:cs="Calibri"/>
                <w:b/>
                <w:bCs/>
                <w:color w:val="000000"/>
                <w:lang w:eastAsia="es-MX"/>
              </w:rPr>
            </w:pPr>
            <w:r w:rsidRPr="00BA6602">
              <w:rPr>
                <w:rFonts w:eastAsia="Times New Roman" w:cs="Calibri"/>
                <w:b/>
                <w:bCs/>
                <w:color w:val="000000"/>
                <w:lang w:eastAsia="es-MX"/>
              </w:rPr>
              <w:lastRenderedPageBreak/>
              <w:t>50,767.75</w:t>
            </w:r>
          </w:p>
        </w:tc>
        <w:tc>
          <w:tcPr>
            <w:tcW w:w="1393"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eastAsia="Times New Roman" w:cs="Calibri"/>
                <w:b/>
                <w:bCs/>
                <w:color w:val="000000"/>
                <w:lang w:eastAsia="es-MX"/>
              </w:rPr>
            </w:pPr>
            <w:r w:rsidRPr="00BA6602">
              <w:rPr>
                <w:rFonts w:eastAsia="Times New Roman" w:cs="Calibri"/>
                <w:b/>
                <w:bCs/>
                <w:color w:val="000000"/>
                <w:lang w:eastAsia="es-MX"/>
              </w:rPr>
              <w:t>100%</w:t>
            </w:r>
          </w:p>
        </w:tc>
      </w:tr>
    </w:tbl>
    <w:p w:rsidR="009C1E0F" w:rsidRPr="00047A0D"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lastRenderedPageBreak/>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909" w:type="dxa"/>
        <w:tblInd w:w="93" w:type="dxa"/>
        <w:tblLook w:val="04A0"/>
      </w:tblPr>
      <w:tblGrid>
        <w:gridCol w:w="5235"/>
        <w:gridCol w:w="2019"/>
        <w:gridCol w:w="1655"/>
      </w:tblGrid>
      <w:tr w:rsidR="00DF34A0" w:rsidRPr="006D69B3" w:rsidTr="00970771">
        <w:trPr>
          <w:trHeight w:val="301"/>
        </w:trPr>
        <w:tc>
          <w:tcPr>
            <w:tcW w:w="52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 </w:t>
            </w:r>
          </w:p>
        </w:tc>
        <w:tc>
          <w:tcPr>
            <w:tcW w:w="2019"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2016</w:t>
            </w:r>
          </w:p>
        </w:tc>
        <w:tc>
          <w:tcPr>
            <w:tcW w:w="1655"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7E1A" w:rsidP="00DF34A0">
            <w:pPr>
              <w:spacing w:after="0" w:line="240" w:lineRule="auto"/>
              <w:jc w:val="center"/>
              <w:rPr>
                <w:rFonts w:eastAsia="Times New Roman"/>
                <w:color w:val="000000"/>
                <w:lang w:val="en-US"/>
              </w:rPr>
            </w:pPr>
            <w:r>
              <w:rPr>
                <w:rFonts w:eastAsia="Times New Roman"/>
                <w:color w:val="000000"/>
                <w:lang w:val="en-US"/>
              </w:rPr>
              <w:t>2015</w:t>
            </w:r>
          </w:p>
        </w:tc>
      </w:tr>
      <w:tr w:rsidR="00DF34A0" w:rsidRPr="006D69B3" w:rsidTr="00970771">
        <w:trPr>
          <w:trHeight w:val="51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b/>
                <w:bCs/>
                <w:color w:val="000000"/>
              </w:rPr>
            </w:pPr>
            <w:r w:rsidRPr="00DF7E1A">
              <w:rPr>
                <w:rFonts w:eastAsia="Times New Roman"/>
                <w:b/>
                <w:bCs/>
                <w:color w:val="000000"/>
              </w:rPr>
              <w:t>Ahorro/Desahorro antes de rubros Extraordinarios</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3571BA" w:rsidP="00587CD9">
            <w:pPr>
              <w:spacing w:after="0" w:line="240" w:lineRule="auto"/>
              <w:jc w:val="right"/>
              <w:rPr>
                <w:rFonts w:eastAsia="Times New Roman"/>
                <w:color w:val="000000"/>
              </w:rPr>
            </w:pPr>
            <w:r>
              <w:rPr>
                <w:rFonts w:eastAsia="Times New Roman"/>
                <w:color w:val="000000"/>
              </w:rPr>
              <w:t>$</w:t>
            </w:r>
            <w:r w:rsidR="00DF34A0" w:rsidRPr="00B64794">
              <w:rPr>
                <w:rFonts w:eastAsia="Times New Roman"/>
                <w:color w:val="000000"/>
              </w:rPr>
              <w:t> </w:t>
            </w:r>
            <w:r w:rsidR="00587CD9" w:rsidRPr="00587CD9">
              <w:rPr>
                <w:rFonts w:eastAsia="Times New Roman"/>
                <w:color w:val="000000"/>
              </w:rPr>
              <w:t>5</w:t>
            </w:r>
            <w:r w:rsidR="00587CD9">
              <w:rPr>
                <w:rFonts w:eastAsia="Times New Roman"/>
                <w:color w:val="000000"/>
              </w:rPr>
              <w:t>,</w:t>
            </w:r>
            <w:r w:rsidR="00587CD9" w:rsidRPr="00587CD9">
              <w:rPr>
                <w:rFonts w:eastAsia="Times New Roman"/>
                <w:color w:val="000000"/>
              </w:rPr>
              <w:t>889</w:t>
            </w:r>
            <w:r w:rsidR="00587CD9">
              <w:rPr>
                <w:rFonts w:eastAsia="Times New Roman"/>
                <w:color w:val="000000"/>
              </w:rPr>
              <w:t>,</w:t>
            </w:r>
            <w:r w:rsidR="00587CD9" w:rsidRPr="00587CD9">
              <w:rPr>
                <w:rFonts w:eastAsia="Times New Roman"/>
                <w:color w:val="000000"/>
              </w:rPr>
              <w:t>225.92</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587CD9">
            <w:pPr>
              <w:spacing w:after="0" w:line="240" w:lineRule="auto"/>
              <w:jc w:val="right"/>
              <w:rPr>
                <w:rFonts w:eastAsia="Times New Roman"/>
                <w:color w:val="000000"/>
              </w:rPr>
            </w:pPr>
            <w:r w:rsidRPr="00B64794">
              <w:rPr>
                <w:rFonts w:eastAsia="Times New Roman"/>
                <w:color w:val="000000"/>
              </w:rPr>
              <w:t> </w:t>
            </w:r>
            <w:r w:rsidR="003571BA">
              <w:rPr>
                <w:rFonts w:eastAsia="Times New Roman"/>
                <w:color w:val="000000"/>
              </w:rPr>
              <w:t>$</w:t>
            </w:r>
            <w:r w:rsidR="00574CBC">
              <w:rPr>
                <w:rFonts w:eastAsia="Times New Roman"/>
                <w:color w:val="000000"/>
              </w:rPr>
              <w:t xml:space="preserve">  </w:t>
            </w:r>
            <w:r w:rsidR="00587CD9" w:rsidRPr="00587CD9">
              <w:rPr>
                <w:rFonts w:eastAsia="Times New Roman"/>
                <w:color w:val="000000"/>
              </w:rPr>
              <w:t>5</w:t>
            </w:r>
            <w:r w:rsidR="00587CD9">
              <w:rPr>
                <w:rFonts w:eastAsia="Times New Roman"/>
                <w:color w:val="000000"/>
              </w:rPr>
              <w:t>,</w:t>
            </w:r>
            <w:r w:rsidR="00587CD9" w:rsidRPr="00587CD9">
              <w:rPr>
                <w:rFonts w:eastAsia="Times New Roman"/>
                <w:color w:val="000000"/>
              </w:rPr>
              <w:t>004</w:t>
            </w:r>
            <w:r w:rsidR="00587CD9">
              <w:rPr>
                <w:rFonts w:eastAsia="Times New Roman"/>
                <w:color w:val="000000"/>
              </w:rPr>
              <w:t>,</w:t>
            </w:r>
            <w:r w:rsidR="00587CD9" w:rsidRPr="00587CD9">
              <w:rPr>
                <w:rFonts w:eastAsia="Times New Roman"/>
                <w:color w:val="000000"/>
              </w:rPr>
              <w:t>227.97</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DF7E1A" w:rsidRDefault="00DF34A0" w:rsidP="00DF34A0">
            <w:pPr>
              <w:spacing w:after="0" w:line="240" w:lineRule="auto"/>
              <w:rPr>
                <w:rFonts w:eastAsia="Times New Roman"/>
                <w:color w:val="000000"/>
              </w:rPr>
            </w:pPr>
            <w:r w:rsidRPr="00DF7E1A">
              <w:rPr>
                <w:rFonts w:eastAsia="Times New Roman"/>
                <w:color w:val="000000"/>
              </w:rPr>
              <w:t>Movimientos de partidas (o rubros) que no afectan al efectivo.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proofErr w:type="spellStart"/>
            <w:r w:rsidRPr="00B64794">
              <w:rPr>
                <w:rFonts w:eastAsia="Times New Roman"/>
                <w:color w:val="000000"/>
                <w:lang w:val="en-US"/>
              </w:rPr>
              <w:t>Depreciación</w:t>
            </w:r>
            <w:proofErr w:type="spellEnd"/>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proofErr w:type="spellStart"/>
            <w:r w:rsidRPr="00B64794">
              <w:rPr>
                <w:rFonts w:eastAsia="Times New Roman"/>
                <w:color w:val="000000"/>
                <w:lang w:val="en-US"/>
              </w:rPr>
              <w:t>Amortización</w:t>
            </w:r>
            <w:proofErr w:type="spellEnd"/>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proofErr w:type="spellStart"/>
            <w:r w:rsidRPr="00B64794">
              <w:rPr>
                <w:rFonts w:eastAsia="Times New Roman"/>
                <w:color w:val="000000"/>
                <w:lang w:val="en-US"/>
              </w:rPr>
              <w:t>Incrementos</w:t>
            </w:r>
            <w:proofErr w:type="spellEnd"/>
            <w:r w:rsidRPr="00B64794">
              <w:rPr>
                <w:rFonts w:eastAsia="Times New Roman"/>
                <w:color w:val="000000"/>
                <w:lang w:val="en-US"/>
              </w:rPr>
              <w:t xml:space="preserve"> en </w:t>
            </w:r>
            <w:proofErr w:type="spellStart"/>
            <w:r w:rsidRPr="00B64794">
              <w:rPr>
                <w:rFonts w:eastAsia="Times New Roman"/>
                <w:color w:val="000000"/>
                <w:lang w:val="en-US"/>
              </w:rPr>
              <w:t>las</w:t>
            </w:r>
            <w:proofErr w:type="spellEnd"/>
            <w:r w:rsidRPr="00B64794">
              <w:rPr>
                <w:rFonts w:eastAsia="Times New Roman"/>
                <w:color w:val="000000"/>
                <w:lang w:val="en-US"/>
              </w:rPr>
              <w:t xml:space="preserve"> </w:t>
            </w:r>
            <w:proofErr w:type="spellStart"/>
            <w:r w:rsidRPr="00B64794">
              <w:rPr>
                <w:rFonts w:eastAsia="Times New Roman"/>
                <w:color w:val="000000"/>
                <w:lang w:val="en-US"/>
              </w:rPr>
              <w:t>provisiones</w:t>
            </w:r>
            <w:proofErr w:type="spellEnd"/>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inversiones producido por revaluación</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605"/>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Ganancia/pérdida en venta de propiedad, planta y equipo</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cuentas por cobrar</w:t>
            </w:r>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DF34A0" w:rsidTr="00970771">
        <w:trPr>
          <w:trHeight w:val="301"/>
        </w:trPr>
        <w:tc>
          <w:tcPr>
            <w:tcW w:w="5235"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proofErr w:type="spellStart"/>
            <w:r w:rsidRPr="00B64794">
              <w:rPr>
                <w:rFonts w:eastAsia="Times New Roman"/>
                <w:color w:val="000000"/>
                <w:lang w:val="en-US"/>
              </w:rPr>
              <w:t>Partidas</w:t>
            </w:r>
            <w:proofErr w:type="spellEnd"/>
            <w:r w:rsidRPr="00B64794">
              <w:rPr>
                <w:rFonts w:eastAsia="Times New Roman"/>
                <w:color w:val="000000"/>
                <w:lang w:val="en-US"/>
              </w:rPr>
              <w:t xml:space="preserve"> </w:t>
            </w:r>
            <w:proofErr w:type="spellStart"/>
            <w:r w:rsidRPr="00B64794">
              <w:rPr>
                <w:rFonts w:eastAsia="Times New Roman"/>
                <w:color w:val="000000"/>
                <w:lang w:val="en-US"/>
              </w:rPr>
              <w:t>extraordinarias</w:t>
            </w:r>
            <w:proofErr w:type="spellEnd"/>
          </w:p>
        </w:tc>
        <w:tc>
          <w:tcPr>
            <w:tcW w:w="2019"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655" w:type="dxa"/>
            <w:tcBorders>
              <w:top w:val="nil"/>
              <w:left w:val="nil"/>
              <w:bottom w:val="single" w:sz="4" w:space="0" w:color="auto"/>
              <w:right w:val="single" w:sz="4" w:space="0" w:color="auto"/>
            </w:tcBorders>
            <w:shd w:val="clear" w:color="auto" w:fill="auto"/>
            <w:noWrap/>
            <w:vAlign w:val="bottom"/>
            <w:hideMark/>
          </w:tcPr>
          <w:p w:rsidR="00DF34A0" w:rsidRPr="00B64794" w:rsidRDefault="00105EB7" w:rsidP="00105EB7">
            <w:pPr>
              <w:spacing w:after="0" w:line="240" w:lineRule="auto"/>
              <w:jc w:val="right"/>
              <w:rPr>
                <w:rFonts w:eastAsia="Times New Roman"/>
                <w:color w:val="000000"/>
                <w:lang w:val="en-US"/>
              </w:rPr>
            </w:pPr>
            <w:r w:rsidRPr="00B64794">
              <w:rPr>
                <w:rFonts w:eastAsia="Times New Roman"/>
                <w:color w:val="000000"/>
              </w:rPr>
              <w:t> </w:t>
            </w:r>
            <w:r>
              <w:rPr>
                <w:rFonts w:eastAsia="Times New Roman"/>
                <w:color w:val="000000"/>
              </w:rPr>
              <w:t>0.00</w:t>
            </w:r>
          </w:p>
        </w:tc>
      </w:tr>
    </w:tbl>
    <w:p w:rsidR="00E3559C" w:rsidRDefault="00E3559C" w:rsidP="0079414A">
      <w:pPr>
        <w:spacing w:after="0" w:line="240" w:lineRule="auto"/>
        <w:rPr>
          <w:rFonts w:cs="Arial-BoldMT"/>
          <w:b/>
          <w:bCs/>
        </w:rPr>
      </w:pPr>
    </w:p>
    <w:p w:rsidR="008E1B5E" w:rsidRDefault="008E1B5E" w:rsidP="0079414A">
      <w:pPr>
        <w:spacing w:after="0" w:line="240" w:lineRule="auto"/>
        <w:rPr>
          <w:rFonts w:cs="Arial-BoldMT"/>
          <w:b/>
          <w:bCs/>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FA0A47" w:rsidRDefault="00FA0A47" w:rsidP="00DF34A0">
      <w:pPr>
        <w:spacing w:after="0" w:line="240" w:lineRule="auto"/>
        <w:jc w:val="both"/>
        <w:rPr>
          <w:b/>
          <w:u w:val="single"/>
        </w:rPr>
      </w:pPr>
    </w:p>
    <w:p w:rsidR="00DF34A0" w:rsidRDefault="00DF34A0" w:rsidP="00900026">
      <w:pPr>
        <w:spacing w:after="0" w:line="240" w:lineRule="auto"/>
        <w:rPr>
          <w:b/>
          <w:u w:val="single"/>
        </w:rPr>
      </w:pPr>
    </w:p>
    <w:tbl>
      <w:tblPr>
        <w:tblW w:w="8986" w:type="dxa"/>
        <w:tblInd w:w="93" w:type="dxa"/>
        <w:tblLayout w:type="fixed"/>
        <w:tblLook w:val="04A0"/>
      </w:tblPr>
      <w:tblGrid>
        <w:gridCol w:w="6535"/>
        <w:gridCol w:w="618"/>
        <w:gridCol w:w="1833"/>
      </w:tblGrid>
      <w:tr w:rsidR="003234B0" w:rsidRPr="006D69B3" w:rsidTr="00BA6602">
        <w:trPr>
          <w:trHeight w:val="485"/>
        </w:trPr>
        <w:tc>
          <w:tcPr>
            <w:tcW w:w="8985"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4C5400" w:rsidRPr="004C5400" w:rsidRDefault="003234B0" w:rsidP="00BA6602">
            <w:pPr>
              <w:spacing w:after="0" w:line="240" w:lineRule="auto"/>
              <w:jc w:val="center"/>
              <w:rPr>
                <w:b/>
                <w:u w:val="single"/>
              </w:rPr>
            </w:pPr>
            <w:r w:rsidRPr="0062249E">
              <w:rPr>
                <w:rFonts w:ascii="Arial" w:eastAsia="Times New Roman" w:hAnsi="Arial" w:cs="Arial"/>
                <w:b/>
                <w:bCs/>
                <w:color w:val="000000"/>
                <w:sz w:val="20"/>
                <w:szCs w:val="20"/>
              </w:rPr>
              <w:t>Conciliación entre los Ingresos Presup</w:t>
            </w:r>
            <w:r w:rsidR="00574CBC">
              <w:rPr>
                <w:rFonts w:ascii="Arial" w:eastAsia="Times New Roman" w:hAnsi="Arial" w:cs="Arial"/>
                <w:b/>
                <w:bCs/>
                <w:color w:val="000000"/>
                <w:sz w:val="20"/>
                <w:szCs w:val="20"/>
              </w:rPr>
              <w:t>uestari</w:t>
            </w:r>
            <w:r w:rsidR="004361EE">
              <w:rPr>
                <w:rFonts w:ascii="Arial" w:eastAsia="Times New Roman" w:hAnsi="Arial" w:cs="Arial"/>
                <w:b/>
                <w:bCs/>
                <w:color w:val="000000"/>
                <w:sz w:val="20"/>
                <w:szCs w:val="20"/>
              </w:rPr>
              <w:t>os y Contables</w:t>
            </w:r>
            <w:r w:rsidR="004361EE">
              <w:rPr>
                <w:rFonts w:ascii="Arial" w:eastAsia="Times New Roman" w:hAnsi="Arial" w:cs="Arial"/>
                <w:b/>
                <w:bCs/>
                <w:color w:val="000000"/>
                <w:sz w:val="20"/>
                <w:szCs w:val="20"/>
              </w:rPr>
              <w:br/>
            </w:r>
            <w:r w:rsidR="004C5400" w:rsidRPr="0030132B">
              <w:rPr>
                <w:rFonts w:ascii="Arial" w:eastAsia="Times New Roman" w:hAnsi="Arial" w:cs="Arial"/>
                <w:b/>
                <w:bCs/>
                <w:color w:val="000000"/>
                <w:sz w:val="20"/>
                <w:szCs w:val="20"/>
              </w:rPr>
              <w:t xml:space="preserve">Del </w:t>
            </w:r>
            <w:r w:rsidR="00BA6602">
              <w:rPr>
                <w:rFonts w:ascii="Arial" w:eastAsia="Times New Roman" w:hAnsi="Arial" w:cs="Arial"/>
                <w:b/>
                <w:bCs/>
                <w:color w:val="000000"/>
                <w:sz w:val="20"/>
                <w:szCs w:val="20"/>
              </w:rPr>
              <w:t>01 de Enero</w:t>
            </w:r>
            <w:r w:rsidR="004C5400">
              <w:rPr>
                <w:rFonts w:ascii="Arial" w:eastAsia="Times New Roman" w:hAnsi="Arial" w:cs="Arial"/>
                <w:b/>
                <w:bCs/>
                <w:color w:val="000000"/>
                <w:sz w:val="20"/>
                <w:szCs w:val="20"/>
              </w:rPr>
              <w:t xml:space="preserve"> </w:t>
            </w:r>
            <w:r w:rsidR="004C5400" w:rsidRPr="0062249E">
              <w:rPr>
                <w:rFonts w:ascii="Arial" w:eastAsia="Times New Roman" w:hAnsi="Arial" w:cs="Arial"/>
                <w:b/>
                <w:bCs/>
                <w:color w:val="000000"/>
                <w:sz w:val="20"/>
                <w:szCs w:val="20"/>
              </w:rPr>
              <w:t>al 3</w:t>
            </w:r>
            <w:r w:rsidR="00BA6602">
              <w:rPr>
                <w:rFonts w:ascii="Arial" w:eastAsia="Times New Roman" w:hAnsi="Arial" w:cs="Arial"/>
                <w:b/>
                <w:bCs/>
                <w:color w:val="000000"/>
                <w:sz w:val="20"/>
                <w:szCs w:val="20"/>
              </w:rPr>
              <w:t>1</w:t>
            </w:r>
            <w:r w:rsidR="004C5400" w:rsidRPr="0062249E">
              <w:rPr>
                <w:rFonts w:ascii="Arial" w:eastAsia="Times New Roman" w:hAnsi="Arial" w:cs="Arial"/>
                <w:b/>
                <w:bCs/>
                <w:color w:val="000000"/>
                <w:sz w:val="20"/>
                <w:szCs w:val="20"/>
              </w:rPr>
              <w:t xml:space="preserve"> de </w:t>
            </w:r>
            <w:r w:rsidR="00BA6602">
              <w:rPr>
                <w:rFonts w:ascii="Arial" w:eastAsia="Times New Roman" w:hAnsi="Arial" w:cs="Arial"/>
                <w:b/>
                <w:bCs/>
                <w:color w:val="000000"/>
                <w:sz w:val="20"/>
                <w:szCs w:val="20"/>
              </w:rPr>
              <w:t>Marzo</w:t>
            </w:r>
            <w:r w:rsidR="004C5400">
              <w:rPr>
                <w:rFonts w:ascii="Arial" w:eastAsia="Times New Roman" w:hAnsi="Arial" w:cs="Arial"/>
                <w:b/>
                <w:bCs/>
                <w:color w:val="000000"/>
                <w:sz w:val="20"/>
                <w:szCs w:val="20"/>
              </w:rPr>
              <w:t xml:space="preserve"> de 201</w:t>
            </w:r>
            <w:r w:rsidR="00BA6602">
              <w:rPr>
                <w:rFonts w:ascii="Arial" w:eastAsia="Times New Roman" w:hAnsi="Arial" w:cs="Arial"/>
                <w:b/>
                <w:bCs/>
                <w:color w:val="000000"/>
                <w:sz w:val="20"/>
                <w:szCs w:val="20"/>
              </w:rPr>
              <w:t>7</w:t>
            </w:r>
          </w:p>
        </w:tc>
      </w:tr>
      <w:tr w:rsidR="003234B0" w:rsidRPr="006D69B3" w:rsidTr="00BA6602">
        <w:trPr>
          <w:trHeight w:val="201"/>
        </w:trPr>
        <w:tc>
          <w:tcPr>
            <w:tcW w:w="6535"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618"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1833"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r>
      <w:tr w:rsidR="003234B0" w:rsidRPr="006D69B3" w:rsidTr="00BA6602">
        <w:trPr>
          <w:trHeight w:val="201"/>
        </w:trPr>
        <w:tc>
          <w:tcPr>
            <w:tcW w:w="6535"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 xml:space="preserve">1.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Presupuestarios</w:t>
            </w:r>
            <w:proofErr w:type="spellEnd"/>
          </w:p>
        </w:tc>
        <w:tc>
          <w:tcPr>
            <w:tcW w:w="618"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833"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571BA" w:rsidP="00BA6602">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00BA6602" w:rsidRPr="00BA6602">
              <w:rPr>
                <w:rFonts w:ascii="Arial" w:eastAsia="Times New Roman" w:hAnsi="Arial" w:cs="Arial"/>
                <w:b/>
                <w:bCs/>
                <w:color w:val="000000"/>
                <w:sz w:val="18"/>
                <w:szCs w:val="18"/>
                <w:lang w:val="en-US"/>
              </w:rPr>
              <w:t>10</w:t>
            </w:r>
            <w:r w:rsidR="00BA6602">
              <w:rPr>
                <w:rFonts w:ascii="Arial" w:eastAsia="Times New Roman" w:hAnsi="Arial" w:cs="Arial"/>
                <w:b/>
                <w:bCs/>
                <w:color w:val="000000"/>
                <w:sz w:val="18"/>
                <w:szCs w:val="18"/>
                <w:lang w:val="en-US"/>
              </w:rPr>
              <w:t>,</w:t>
            </w:r>
            <w:r w:rsidR="00BA6602" w:rsidRPr="00BA6602">
              <w:rPr>
                <w:rFonts w:ascii="Arial" w:eastAsia="Times New Roman" w:hAnsi="Arial" w:cs="Arial"/>
                <w:b/>
                <w:bCs/>
                <w:color w:val="000000"/>
                <w:sz w:val="18"/>
                <w:szCs w:val="18"/>
                <w:lang w:val="en-US"/>
              </w:rPr>
              <w:t>446</w:t>
            </w:r>
            <w:r w:rsidR="00BA6602">
              <w:rPr>
                <w:rFonts w:ascii="Arial" w:eastAsia="Times New Roman" w:hAnsi="Arial" w:cs="Arial"/>
                <w:b/>
                <w:bCs/>
                <w:color w:val="000000"/>
                <w:sz w:val="18"/>
                <w:szCs w:val="18"/>
                <w:lang w:val="en-US"/>
              </w:rPr>
              <w:t>,</w:t>
            </w:r>
            <w:r w:rsidR="00BA6602" w:rsidRPr="00BA6602">
              <w:rPr>
                <w:rFonts w:ascii="Arial" w:eastAsia="Times New Roman" w:hAnsi="Arial" w:cs="Arial"/>
                <w:b/>
                <w:bCs/>
                <w:color w:val="000000"/>
                <w:sz w:val="18"/>
                <w:szCs w:val="18"/>
                <w:lang w:val="en-US"/>
              </w:rPr>
              <w:t>415.55</w:t>
            </w:r>
          </w:p>
        </w:tc>
      </w:tr>
      <w:tr w:rsidR="003234B0" w:rsidRPr="006D69B3" w:rsidTr="00BA6602">
        <w:trPr>
          <w:trHeight w:val="213"/>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83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378"/>
        </w:trPr>
        <w:tc>
          <w:tcPr>
            <w:tcW w:w="6535" w:type="dxa"/>
            <w:tcBorders>
              <w:top w:val="nil"/>
              <w:left w:val="single" w:sz="4" w:space="0" w:color="auto"/>
              <w:bottom w:val="single" w:sz="4" w:space="0" w:color="auto"/>
              <w:right w:val="single" w:sz="4" w:space="0" w:color="auto"/>
            </w:tcBorders>
            <w:shd w:val="clear" w:color="auto" w:fill="auto"/>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833"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Productos</w:t>
            </w:r>
            <w:proofErr w:type="spellEnd"/>
            <w:r w:rsidRPr="0062249E">
              <w:rPr>
                <w:rFonts w:ascii="Arial" w:eastAsia="Times New Roman" w:hAnsi="Arial" w:cs="Arial"/>
                <w:color w:val="000000"/>
                <w:sz w:val="18"/>
                <w:szCs w:val="18"/>
                <w:lang w:val="en-US"/>
              </w:rPr>
              <w:t xml:space="preserve"> de Capital</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Aprovechamientos</w:t>
            </w:r>
            <w:proofErr w:type="spellEnd"/>
            <w:r w:rsidRPr="0062249E">
              <w:rPr>
                <w:rFonts w:ascii="Arial" w:eastAsia="Times New Roman" w:hAnsi="Arial" w:cs="Arial"/>
                <w:color w:val="000000"/>
                <w:sz w:val="18"/>
                <w:szCs w:val="18"/>
                <w:lang w:val="en-US"/>
              </w:rPr>
              <w:t xml:space="preserve"> Capital</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proofErr w:type="spellStart"/>
            <w:r w:rsidRPr="0062249E">
              <w:rPr>
                <w:rFonts w:ascii="Arial" w:eastAsia="Times New Roman" w:hAnsi="Arial" w:cs="Arial"/>
                <w:color w:val="000000"/>
                <w:sz w:val="18"/>
                <w:szCs w:val="18"/>
                <w:lang w:val="en-US"/>
              </w:rPr>
              <w:t>Ingresos</w:t>
            </w:r>
            <w:proofErr w:type="spellEnd"/>
            <w:r w:rsidRPr="0062249E">
              <w:rPr>
                <w:rFonts w:ascii="Arial" w:eastAsia="Times New Roman" w:hAnsi="Arial" w:cs="Arial"/>
                <w:color w:val="000000"/>
                <w:sz w:val="18"/>
                <w:szCs w:val="18"/>
                <w:lang w:val="en-US"/>
              </w:rPr>
              <w:t xml:space="preserve"> </w:t>
            </w:r>
            <w:proofErr w:type="spellStart"/>
            <w:r w:rsidRPr="0062249E">
              <w:rPr>
                <w:rFonts w:ascii="Arial" w:eastAsia="Times New Roman" w:hAnsi="Arial" w:cs="Arial"/>
                <w:color w:val="000000"/>
                <w:sz w:val="18"/>
                <w:szCs w:val="18"/>
                <w:lang w:val="en-US"/>
              </w:rPr>
              <w:t>Derivados</w:t>
            </w:r>
            <w:proofErr w:type="spellEnd"/>
            <w:r w:rsidRPr="0062249E">
              <w:rPr>
                <w:rFonts w:ascii="Arial" w:eastAsia="Times New Roman" w:hAnsi="Arial" w:cs="Arial"/>
                <w:color w:val="000000"/>
                <w:sz w:val="18"/>
                <w:szCs w:val="18"/>
                <w:lang w:val="en-US"/>
              </w:rPr>
              <w:t xml:space="preserve"> de </w:t>
            </w:r>
            <w:proofErr w:type="spellStart"/>
            <w:r w:rsidRPr="0062249E">
              <w:rPr>
                <w:rFonts w:ascii="Arial" w:eastAsia="Times New Roman" w:hAnsi="Arial" w:cs="Arial"/>
                <w:color w:val="000000"/>
                <w:sz w:val="18"/>
                <w:szCs w:val="18"/>
                <w:lang w:val="en-US"/>
              </w:rPr>
              <w:t>Financiamientos</w:t>
            </w:r>
            <w:proofErr w:type="spellEnd"/>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01"/>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BA6602">
        <w:trPr>
          <w:trHeight w:val="284"/>
        </w:trPr>
        <w:tc>
          <w:tcPr>
            <w:tcW w:w="6535"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618"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833"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3234B0" w:rsidTr="00BA6602">
        <w:trPr>
          <w:trHeight w:val="249"/>
        </w:trPr>
        <w:tc>
          <w:tcPr>
            <w:tcW w:w="6535"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lastRenderedPageBreak/>
              <w:t xml:space="preserve">4. </w:t>
            </w:r>
            <w:proofErr w:type="spellStart"/>
            <w:r w:rsidRPr="0062249E">
              <w:rPr>
                <w:rFonts w:ascii="Arial" w:eastAsia="Times New Roman" w:hAnsi="Arial" w:cs="Arial"/>
                <w:b/>
                <w:bCs/>
                <w:color w:val="000000"/>
                <w:sz w:val="18"/>
                <w:szCs w:val="18"/>
                <w:lang w:val="en-US"/>
              </w:rPr>
              <w:t>Ingresos</w:t>
            </w:r>
            <w:proofErr w:type="spellEnd"/>
            <w:r w:rsidRPr="0062249E">
              <w:rPr>
                <w:rFonts w:ascii="Arial" w:eastAsia="Times New Roman" w:hAnsi="Arial" w:cs="Arial"/>
                <w:b/>
                <w:bCs/>
                <w:color w:val="000000"/>
                <w:sz w:val="18"/>
                <w:szCs w:val="18"/>
                <w:lang w:val="en-US"/>
              </w:rPr>
              <w:t xml:space="preserve"> </w:t>
            </w:r>
            <w:proofErr w:type="spellStart"/>
            <w:r w:rsidRPr="0062249E">
              <w:rPr>
                <w:rFonts w:ascii="Arial" w:eastAsia="Times New Roman" w:hAnsi="Arial" w:cs="Arial"/>
                <w:b/>
                <w:bCs/>
                <w:color w:val="000000"/>
                <w:sz w:val="18"/>
                <w:szCs w:val="18"/>
                <w:lang w:val="en-US"/>
              </w:rPr>
              <w:t>Contables</w:t>
            </w:r>
            <w:proofErr w:type="spellEnd"/>
          </w:p>
        </w:tc>
        <w:tc>
          <w:tcPr>
            <w:tcW w:w="618"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833" w:type="dxa"/>
            <w:tcBorders>
              <w:top w:val="nil"/>
              <w:left w:val="nil"/>
              <w:bottom w:val="single" w:sz="4" w:space="0" w:color="auto"/>
              <w:right w:val="single" w:sz="4" w:space="0" w:color="auto"/>
            </w:tcBorders>
            <w:shd w:val="clear" w:color="000000" w:fill="BFBFBF"/>
            <w:noWrap/>
            <w:hideMark/>
          </w:tcPr>
          <w:p w:rsidR="003234B0" w:rsidRPr="0062249E" w:rsidRDefault="00BA6602" w:rsidP="0045544A">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w:t>
            </w:r>
            <w:r w:rsidRPr="00BA6602">
              <w:rPr>
                <w:rFonts w:ascii="Arial" w:eastAsia="Times New Roman" w:hAnsi="Arial" w:cs="Arial"/>
                <w:b/>
                <w:bCs/>
                <w:color w:val="000000"/>
                <w:sz w:val="18"/>
                <w:szCs w:val="18"/>
                <w:lang w:val="en-US"/>
              </w:rPr>
              <w:t>10</w:t>
            </w:r>
            <w:r>
              <w:rPr>
                <w:rFonts w:ascii="Arial" w:eastAsia="Times New Roman" w:hAnsi="Arial" w:cs="Arial"/>
                <w:b/>
                <w:bCs/>
                <w:color w:val="000000"/>
                <w:sz w:val="18"/>
                <w:szCs w:val="18"/>
                <w:lang w:val="en-US"/>
              </w:rPr>
              <w:t>,</w:t>
            </w:r>
            <w:r w:rsidRPr="00BA6602">
              <w:rPr>
                <w:rFonts w:ascii="Arial" w:eastAsia="Times New Roman" w:hAnsi="Arial" w:cs="Arial"/>
                <w:b/>
                <w:bCs/>
                <w:color w:val="000000"/>
                <w:sz w:val="18"/>
                <w:szCs w:val="18"/>
                <w:lang w:val="en-US"/>
              </w:rPr>
              <w:t>446</w:t>
            </w:r>
            <w:r>
              <w:rPr>
                <w:rFonts w:ascii="Arial" w:eastAsia="Times New Roman" w:hAnsi="Arial" w:cs="Arial"/>
                <w:b/>
                <w:bCs/>
                <w:color w:val="000000"/>
                <w:sz w:val="18"/>
                <w:szCs w:val="18"/>
                <w:lang w:val="en-US"/>
              </w:rPr>
              <w:t>,</w:t>
            </w:r>
            <w:r w:rsidRPr="00BA6602">
              <w:rPr>
                <w:rFonts w:ascii="Arial" w:eastAsia="Times New Roman" w:hAnsi="Arial" w:cs="Arial"/>
                <w:b/>
                <w:bCs/>
                <w:color w:val="000000"/>
                <w:sz w:val="18"/>
                <w:szCs w:val="18"/>
                <w:lang w:val="en-US"/>
              </w:rPr>
              <w:t>415.55</w:t>
            </w:r>
          </w:p>
        </w:tc>
      </w:tr>
    </w:tbl>
    <w:p w:rsidR="00EB43A1" w:rsidRDefault="00EB43A1" w:rsidP="00900026">
      <w:pPr>
        <w:spacing w:after="0" w:line="240" w:lineRule="auto"/>
        <w:rPr>
          <w:b/>
          <w:u w:val="single"/>
        </w:rPr>
      </w:pPr>
    </w:p>
    <w:p w:rsidR="00E875D9" w:rsidRPr="00784A74" w:rsidRDefault="00E875D9" w:rsidP="00900026">
      <w:pPr>
        <w:spacing w:after="0" w:line="240" w:lineRule="auto"/>
        <w:rPr>
          <w:b/>
          <w:u w:val="single"/>
        </w:rPr>
      </w:pPr>
    </w:p>
    <w:tbl>
      <w:tblPr>
        <w:tblW w:w="9051" w:type="dxa"/>
        <w:tblInd w:w="60" w:type="dxa"/>
        <w:tblCellMar>
          <w:left w:w="70" w:type="dxa"/>
          <w:right w:w="70" w:type="dxa"/>
        </w:tblCellMar>
        <w:tblLook w:val="04A0"/>
      </w:tblPr>
      <w:tblGrid>
        <w:gridCol w:w="5686"/>
        <w:gridCol w:w="1574"/>
        <w:gridCol w:w="1791"/>
      </w:tblGrid>
      <w:tr w:rsidR="00BA6602" w:rsidRPr="00BA6602" w:rsidTr="00F77951">
        <w:trPr>
          <w:trHeight w:val="233"/>
        </w:trPr>
        <w:tc>
          <w:tcPr>
            <w:tcW w:w="9051" w:type="dxa"/>
            <w:gridSpan w:val="3"/>
            <w:tcBorders>
              <w:top w:val="single" w:sz="8" w:space="0" w:color="auto"/>
              <w:left w:val="single" w:sz="8" w:space="0" w:color="auto"/>
              <w:bottom w:val="nil"/>
              <w:right w:val="single" w:sz="8" w:space="0" w:color="000000"/>
            </w:tcBorders>
            <w:shd w:val="clear" w:color="000000" w:fill="BFBFBF"/>
            <w:hideMark/>
          </w:tcPr>
          <w:p w:rsidR="00BA6602" w:rsidRPr="00BA6602" w:rsidRDefault="00BA6602" w:rsidP="00BA6602">
            <w:pPr>
              <w:spacing w:after="0" w:line="240" w:lineRule="auto"/>
              <w:jc w:val="center"/>
              <w:rPr>
                <w:rFonts w:ascii="Arial" w:eastAsia="Times New Roman" w:hAnsi="Arial" w:cs="Arial"/>
                <w:b/>
                <w:bCs/>
                <w:color w:val="000000"/>
                <w:sz w:val="20"/>
                <w:szCs w:val="20"/>
                <w:lang w:eastAsia="es-MX"/>
              </w:rPr>
            </w:pPr>
            <w:r w:rsidRPr="00BA6602">
              <w:rPr>
                <w:rFonts w:ascii="Arial" w:eastAsia="Times New Roman" w:hAnsi="Arial" w:cs="Arial"/>
                <w:b/>
                <w:bCs/>
                <w:color w:val="000000"/>
                <w:sz w:val="20"/>
                <w:szCs w:val="20"/>
                <w:lang w:eastAsia="es-MX"/>
              </w:rPr>
              <w:t>Conciliación entre los Egresos Presupuestarios y Contables</w:t>
            </w:r>
          </w:p>
        </w:tc>
      </w:tr>
      <w:tr w:rsidR="00BA6602" w:rsidRPr="00BA6602" w:rsidTr="00F77951">
        <w:trPr>
          <w:trHeight w:val="246"/>
        </w:trPr>
        <w:tc>
          <w:tcPr>
            <w:tcW w:w="9051" w:type="dxa"/>
            <w:gridSpan w:val="3"/>
            <w:tcBorders>
              <w:top w:val="nil"/>
              <w:left w:val="single" w:sz="8" w:space="0" w:color="auto"/>
              <w:bottom w:val="single" w:sz="8" w:space="0" w:color="auto"/>
              <w:right w:val="single" w:sz="8" w:space="0" w:color="000000"/>
            </w:tcBorders>
            <w:shd w:val="clear" w:color="000000" w:fill="BFBFBF"/>
            <w:hideMark/>
          </w:tcPr>
          <w:p w:rsidR="00BA6602" w:rsidRPr="00BA6602" w:rsidRDefault="00BA6602" w:rsidP="00BA6602">
            <w:pPr>
              <w:spacing w:after="0" w:line="240" w:lineRule="auto"/>
              <w:jc w:val="center"/>
              <w:rPr>
                <w:rFonts w:ascii="Arial" w:eastAsia="Times New Roman" w:hAnsi="Arial" w:cs="Arial"/>
                <w:b/>
                <w:bCs/>
                <w:color w:val="000000"/>
                <w:sz w:val="20"/>
                <w:szCs w:val="20"/>
                <w:lang w:eastAsia="es-MX"/>
              </w:rPr>
            </w:pPr>
            <w:r w:rsidRPr="00BA6602">
              <w:rPr>
                <w:rFonts w:ascii="Arial" w:eastAsia="Times New Roman" w:hAnsi="Arial" w:cs="Arial"/>
                <w:b/>
                <w:bCs/>
                <w:color w:val="000000"/>
                <w:sz w:val="20"/>
                <w:szCs w:val="20"/>
                <w:lang w:eastAsia="es-MX"/>
              </w:rPr>
              <w:t>Del 01 de Enero al 31 de Marzo de 2017</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b/>
                <w:bCs/>
                <w:color w:val="000000"/>
                <w:sz w:val="20"/>
                <w:szCs w:val="20"/>
                <w:lang w:eastAsia="es-MX"/>
              </w:rPr>
            </w:pPr>
            <w:r w:rsidRPr="00BA6602">
              <w:rPr>
                <w:rFonts w:ascii="Arial" w:eastAsia="Times New Roman" w:hAnsi="Arial" w:cs="Arial"/>
                <w:b/>
                <w:bCs/>
                <w:color w:val="000000"/>
                <w:sz w:val="20"/>
                <w:szCs w:val="20"/>
                <w:lang w:eastAsia="es-MX"/>
              </w:rPr>
              <w:t> </w:t>
            </w:r>
          </w:p>
        </w:tc>
        <w:tc>
          <w:tcPr>
            <w:tcW w:w="1574"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1. Total de Egresos (Presupuestarios)</w:t>
            </w:r>
          </w:p>
        </w:tc>
        <w:tc>
          <w:tcPr>
            <w:tcW w:w="1574" w:type="dxa"/>
            <w:tcBorders>
              <w:top w:val="nil"/>
              <w:left w:val="nil"/>
              <w:bottom w:val="single" w:sz="8" w:space="0" w:color="auto"/>
              <w:right w:val="single" w:sz="8" w:space="0" w:color="auto"/>
            </w:tcBorders>
            <w:shd w:val="clear" w:color="000000" w:fill="BFBFBF"/>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val="en-US" w:eastAsia="es-MX"/>
              </w:rPr>
              <w:t xml:space="preserve"> $15,083,937.21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574"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2. Menos Egresos Presupuestarios no Contables</w:t>
            </w:r>
          </w:p>
        </w:tc>
        <w:tc>
          <w:tcPr>
            <w:tcW w:w="1574" w:type="dxa"/>
            <w:tcBorders>
              <w:top w:val="nil"/>
              <w:left w:val="nil"/>
              <w:bottom w:val="single" w:sz="8" w:space="0" w:color="auto"/>
              <w:right w:val="single" w:sz="8" w:space="0" w:color="auto"/>
            </w:tcBorders>
            <w:shd w:val="clear" w:color="000000" w:fill="BFBFBF"/>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 xml:space="preserve"> $10,535,797.93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Mobiliario y Equipo de Administración</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8,728.48</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Mobiliario y Equipo Educacional y Recreativo</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Equipo e Instrumental Médico y de Laboratorio</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Vehículos y Equipos de Transporte</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Equipo de defensa y Seguridad</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Maquinaria, otros equipos y herramienta</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Activos Biológicos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Bienes Inmuebles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Activos Intangibles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Obra Pública en Bienes Propios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9,849,838.41</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Obra Pública en Bienes De Dominio Público</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677,231.04</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Acciones y Participaciones de Capital</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Compra de Títulos y Valores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Inversión en Fideicomisos, Mandatos y otros Análogos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172"/>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Provisiones para Contingencias y otras Erogaciones Especiales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Amortización de la Deuda Pública</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Adeudos de Ejercicios Fiscales Anteriores (ADEFAS)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Otros Egresos Presupuestales no Contables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3. Más Gastos Contables no Presupuestales</w:t>
            </w:r>
          </w:p>
        </w:tc>
        <w:tc>
          <w:tcPr>
            <w:tcW w:w="1574" w:type="dxa"/>
            <w:tcBorders>
              <w:top w:val="nil"/>
              <w:left w:val="nil"/>
              <w:bottom w:val="single" w:sz="8" w:space="0" w:color="auto"/>
              <w:right w:val="single" w:sz="8" w:space="0" w:color="auto"/>
            </w:tcBorders>
            <w:shd w:val="clear" w:color="000000" w:fill="BFBFBF"/>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 xml:space="preserve"> $        50,767.75 </w:t>
            </w:r>
          </w:p>
        </w:tc>
      </w:tr>
      <w:tr w:rsidR="00BA6602" w:rsidRPr="00BA6602" w:rsidTr="00F77951">
        <w:trPr>
          <w:trHeight w:val="451"/>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Estimaciones, Depreciaciones, Deterioros, Obsolescencia y Amortizaciones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50,767.75</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Provisiones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Disminución de Inventarios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451"/>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Aumento por Insuficiencia de Estimaciones por Pérdida o deterioro u Obsolescencia</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Aumento por insuficiencia de Provisiones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Otros Gastos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auto" w:fill="auto"/>
            <w:hideMark/>
          </w:tcPr>
          <w:p w:rsidR="00BA6602" w:rsidRPr="00BA6602" w:rsidRDefault="00BA6602" w:rsidP="00BA6602">
            <w:pPr>
              <w:spacing w:after="0" w:line="240" w:lineRule="auto"/>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Otros Gastos Contables no Presupuestales</w:t>
            </w:r>
          </w:p>
        </w:tc>
        <w:tc>
          <w:tcPr>
            <w:tcW w:w="1574" w:type="dxa"/>
            <w:tcBorders>
              <w:top w:val="nil"/>
              <w:left w:val="nil"/>
              <w:bottom w:val="single" w:sz="8" w:space="0" w:color="auto"/>
              <w:right w:val="single" w:sz="8" w:space="0" w:color="auto"/>
            </w:tcBorders>
            <w:shd w:val="clear" w:color="auto" w:fill="auto"/>
            <w:hideMark/>
          </w:tcPr>
          <w:p w:rsidR="00BA6602" w:rsidRPr="00BA6602" w:rsidRDefault="00BA6602" w:rsidP="00BA6602">
            <w:pPr>
              <w:spacing w:after="0" w:line="240" w:lineRule="auto"/>
              <w:jc w:val="right"/>
              <w:rPr>
                <w:rFonts w:ascii="Arial" w:eastAsia="Times New Roman" w:hAnsi="Arial" w:cs="Arial"/>
                <w:color w:val="000000"/>
                <w:sz w:val="18"/>
                <w:szCs w:val="18"/>
                <w:lang w:eastAsia="es-MX"/>
              </w:rPr>
            </w:pPr>
            <w:r w:rsidRPr="00BA6602">
              <w:rPr>
                <w:rFonts w:ascii="Arial" w:eastAsia="Times New Roman" w:hAnsi="Arial" w:cs="Arial"/>
                <w:color w:val="000000"/>
                <w:sz w:val="18"/>
                <w:szCs w:val="18"/>
                <w:lang w:eastAsia="es-MX"/>
              </w:rPr>
              <w:t>0.00</w:t>
            </w:r>
          </w:p>
        </w:tc>
        <w:tc>
          <w:tcPr>
            <w:tcW w:w="1791" w:type="dxa"/>
            <w:tcBorders>
              <w:top w:val="nil"/>
              <w:left w:val="nil"/>
              <w:bottom w:val="single" w:sz="8" w:space="0" w:color="auto"/>
              <w:right w:val="single" w:sz="8" w:space="0" w:color="auto"/>
            </w:tcBorders>
            <w:shd w:val="clear" w:color="auto" w:fill="auto"/>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r>
      <w:tr w:rsidR="00BA6602" w:rsidRPr="00BA6602" w:rsidTr="00F77951">
        <w:trPr>
          <w:trHeight w:val="246"/>
        </w:trPr>
        <w:tc>
          <w:tcPr>
            <w:tcW w:w="5686" w:type="dxa"/>
            <w:tcBorders>
              <w:top w:val="nil"/>
              <w:left w:val="single" w:sz="8" w:space="0" w:color="auto"/>
              <w:bottom w:val="single" w:sz="8" w:space="0" w:color="auto"/>
              <w:right w:val="single" w:sz="8" w:space="0" w:color="auto"/>
            </w:tcBorders>
            <w:shd w:val="clear" w:color="000000" w:fill="BFBFBF"/>
            <w:hideMark/>
          </w:tcPr>
          <w:p w:rsidR="00BA6602" w:rsidRPr="00BA6602" w:rsidRDefault="00BA6602" w:rsidP="00BA6602">
            <w:pPr>
              <w:spacing w:after="0" w:line="240" w:lineRule="auto"/>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4. Total de Gastos Contable</w:t>
            </w:r>
          </w:p>
        </w:tc>
        <w:tc>
          <w:tcPr>
            <w:tcW w:w="1574" w:type="dxa"/>
            <w:tcBorders>
              <w:top w:val="nil"/>
              <w:left w:val="nil"/>
              <w:bottom w:val="single" w:sz="8" w:space="0" w:color="auto"/>
              <w:right w:val="single" w:sz="8" w:space="0" w:color="auto"/>
            </w:tcBorders>
            <w:shd w:val="clear" w:color="000000" w:fill="BFBFBF"/>
            <w:noWrap/>
            <w:hideMark/>
          </w:tcPr>
          <w:p w:rsidR="00BA6602" w:rsidRPr="00BA6602" w:rsidRDefault="00BA6602" w:rsidP="00BA6602">
            <w:pPr>
              <w:spacing w:after="0" w:line="240" w:lineRule="auto"/>
              <w:rPr>
                <w:rFonts w:ascii="Arial" w:eastAsia="Times New Roman" w:hAnsi="Arial" w:cs="Arial"/>
                <w:color w:val="000000"/>
                <w:sz w:val="20"/>
                <w:szCs w:val="20"/>
                <w:lang w:eastAsia="es-MX"/>
              </w:rPr>
            </w:pPr>
            <w:r w:rsidRPr="00BA6602">
              <w:rPr>
                <w:rFonts w:ascii="Arial" w:eastAsia="Times New Roman" w:hAnsi="Arial" w:cs="Arial"/>
                <w:color w:val="000000"/>
                <w:sz w:val="20"/>
                <w:szCs w:val="20"/>
                <w:lang w:eastAsia="es-MX"/>
              </w:rPr>
              <w:t> </w:t>
            </w:r>
          </w:p>
        </w:tc>
        <w:tc>
          <w:tcPr>
            <w:tcW w:w="1791" w:type="dxa"/>
            <w:tcBorders>
              <w:top w:val="nil"/>
              <w:left w:val="nil"/>
              <w:bottom w:val="single" w:sz="8" w:space="0" w:color="auto"/>
              <w:right w:val="single" w:sz="8" w:space="0" w:color="auto"/>
            </w:tcBorders>
            <w:shd w:val="clear" w:color="000000" w:fill="BFBFBF"/>
            <w:hideMark/>
          </w:tcPr>
          <w:p w:rsidR="00BA6602" w:rsidRPr="00BA6602" w:rsidRDefault="00BA6602" w:rsidP="00BA6602">
            <w:pPr>
              <w:spacing w:after="0" w:line="240" w:lineRule="auto"/>
              <w:jc w:val="right"/>
              <w:rPr>
                <w:rFonts w:ascii="Arial" w:eastAsia="Times New Roman" w:hAnsi="Arial" w:cs="Arial"/>
                <w:b/>
                <w:bCs/>
                <w:color w:val="000000"/>
                <w:sz w:val="18"/>
                <w:szCs w:val="18"/>
                <w:lang w:eastAsia="es-MX"/>
              </w:rPr>
            </w:pPr>
            <w:r w:rsidRPr="00BA6602">
              <w:rPr>
                <w:rFonts w:ascii="Arial" w:eastAsia="Times New Roman" w:hAnsi="Arial" w:cs="Arial"/>
                <w:b/>
                <w:bCs/>
                <w:color w:val="000000"/>
                <w:sz w:val="18"/>
                <w:szCs w:val="18"/>
                <w:lang w:eastAsia="es-MX"/>
              </w:rPr>
              <w:t xml:space="preserve"> $   4,598,907.03 </w:t>
            </w:r>
          </w:p>
        </w:tc>
      </w:tr>
    </w:tbl>
    <w:p w:rsidR="00025CE5" w:rsidRDefault="00025CE5" w:rsidP="00230151">
      <w:pPr>
        <w:spacing w:after="0" w:line="240" w:lineRule="auto"/>
        <w:rPr>
          <w:b/>
          <w:color w:val="000000"/>
          <w:u w:val="single"/>
        </w:rPr>
      </w:pPr>
    </w:p>
    <w:p w:rsidR="00025CE5" w:rsidRDefault="00025CE5" w:rsidP="00230151">
      <w:pPr>
        <w:spacing w:after="0" w:line="240" w:lineRule="auto"/>
        <w:rPr>
          <w:b/>
          <w:color w:val="000000"/>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p w:rsidR="00E875D9" w:rsidRDefault="00E875D9" w:rsidP="00230151">
      <w:pPr>
        <w:spacing w:after="0" w:line="240" w:lineRule="auto"/>
        <w:jc w:val="both"/>
      </w:pPr>
    </w:p>
    <w:tbl>
      <w:tblPr>
        <w:tblW w:w="9344" w:type="dxa"/>
        <w:tblInd w:w="93" w:type="dxa"/>
        <w:tblLook w:val="04A0"/>
      </w:tblPr>
      <w:tblGrid>
        <w:gridCol w:w="1078"/>
        <w:gridCol w:w="8266"/>
      </w:tblGrid>
      <w:tr w:rsidR="00B80ED6" w:rsidRPr="00B80ED6" w:rsidTr="00E875D9">
        <w:trPr>
          <w:trHeight w:val="262"/>
        </w:trPr>
        <w:tc>
          <w:tcPr>
            <w:tcW w:w="10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lastRenderedPageBreak/>
              <w:t xml:space="preserve">NOTA </w:t>
            </w:r>
          </w:p>
        </w:tc>
        <w:tc>
          <w:tcPr>
            <w:tcW w:w="8266"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E875D9">
        <w:trPr>
          <w:trHeight w:val="262"/>
        </w:trPr>
        <w:tc>
          <w:tcPr>
            <w:tcW w:w="1078"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8266"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E875D9">
        <w:trPr>
          <w:trHeight w:val="262"/>
        </w:trPr>
        <w:tc>
          <w:tcPr>
            <w:tcW w:w="1078"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8266"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1.1.4 </w:t>
            </w:r>
            <w:proofErr w:type="spellStart"/>
            <w:r w:rsidRPr="00B80ED6">
              <w:rPr>
                <w:rFonts w:eastAsia="Times New Roman"/>
                <w:color w:val="000000"/>
                <w:lang w:val="en-US"/>
              </w:rPr>
              <w:t>Inventarios</w:t>
            </w:r>
            <w:proofErr w:type="spellEnd"/>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1.1.5 </w:t>
            </w:r>
            <w:proofErr w:type="spellStart"/>
            <w:r w:rsidRPr="00B80ED6">
              <w:rPr>
                <w:rFonts w:eastAsia="Times New Roman"/>
                <w:color w:val="000000"/>
                <w:lang w:val="en-US"/>
              </w:rPr>
              <w:t>Almacenes</w:t>
            </w:r>
            <w:proofErr w:type="spellEnd"/>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E875D9">
        <w:trPr>
          <w:trHeight w:val="784"/>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E875D9">
        <w:trPr>
          <w:trHeight w:val="784"/>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E875D9">
        <w:trPr>
          <w:trHeight w:val="1045"/>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E875D9">
        <w:trPr>
          <w:trHeight w:val="1045"/>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E875D9">
        <w:trPr>
          <w:trHeight w:val="2718"/>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E875D9">
        <w:trPr>
          <w:trHeight w:val="784"/>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 xml:space="preserve">3.2.1 Resultados del Ejercicio (Ahorro/ Desahorro), 3.2.2 Resultados de Ejercicios Anteriores, 3.2.3 </w:t>
            </w:r>
            <w:proofErr w:type="spellStart"/>
            <w:r w:rsidRPr="00B80ED6">
              <w:rPr>
                <w:rFonts w:eastAsia="Times New Roman"/>
                <w:color w:val="000000"/>
              </w:rPr>
              <w:t>Revalúos</w:t>
            </w:r>
            <w:proofErr w:type="spellEnd"/>
            <w:r w:rsidRPr="00B80ED6">
              <w:rPr>
                <w:rFonts w:eastAsia="Times New Roman"/>
                <w:color w:val="000000"/>
              </w:rPr>
              <w:t>, 3.2.4 Reservas, 3.2.5 Rectificaciones de Resultados de Ejercicios Anteriores</w:t>
            </w:r>
          </w:p>
        </w:tc>
      </w:tr>
      <w:tr w:rsidR="00B80ED6" w:rsidRPr="00B80ED6" w:rsidTr="00E875D9">
        <w:trPr>
          <w:trHeight w:val="262"/>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EFE-01</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E875D9">
        <w:trPr>
          <w:trHeight w:val="523"/>
        </w:trPr>
        <w:tc>
          <w:tcPr>
            <w:tcW w:w="1078"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8266"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8E1B5E" w:rsidRDefault="008E1B5E" w:rsidP="005E596B">
      <w:pPr>
        <w:jc w:val="both"/>
        <w:rPr>
          <w:rFonts w:cs="Arial-BoldMT"/>
          <w:b/>
          <w:bCs/>
        </w:rPr>
      </w:pPr>
    </w:p>
    <w:p w:rsidR="008E1B5E" w:rsidRDefault="00900026" w:rsidP="008E1B5E">
      <w:pPr>
        <w:spacing w:after="0"/>
        <w:jc w:val="both"/>
        <w:rPr>
          <w:rFonts w:cs="Arial-BoldMT"/>
          <w:b/>
          <w:bCs/>
        </w:rPr>
      </w:pPr>
      <w:r w:rsidRPr="00900026">
        <w:rPr>
          <w:rFonts w:cs="Arial-BoldMT"/>
          <w:b/>
          <w:bCs/>
        </w:rPr>
        <w:t xml:space="preserve">CUENTAS DE ORDEN CONTABLE VALORES </w:t>
      </w:r>
    </w:p>
    <w:p w:rsidR="005D4DDF" w:rsidRPr="008E1B5E" w:rsidRDefault="005D4DDF" w:rsidP="008E1B5E">
      <w:pPr>
        <w:spacing w:after="0"/>
        <w:jc w:val="both"/>
        <w:rPr>
          <w:rFonts w:cs="Arial-BoldMT"/>
          <w:b/>
          <w:bCs/>
        </w:rPr>
      </w:pPr>
      <w:r w:rsidRPr="00136A7B">
        <w:rPr>
          <w:rFonts w:cs="Arial-BoldMT"/>
          <w:b/>
          <w:bCs/>
        </w:rPr>
        <w:t xml:space="preserve">CO-01.- </w:t>
      </w:r>
      <w:r w:rsidRPr="00136A7B">
        <w:rPr>
          <w:color w:val="00000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136A7B" w:rsidRDefault="005D4DDF" w:rsidP="008E1B5E">
      <w:pPr>
        <w:pStyle w:val="NormalWeb"/>
        <w:spacing w:after="0" w:afterAutospacing="0"/>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8.1 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8.2 Cuentas de egresos</w:t>
      </w:r>
    </w:p>
    <w:p w:rsidR="00374531" w:rsidRDefault="00374531" w:rsidP="00F47CE1">
      <w:pPr>
        <w:pStyle w:val="NormalWeb"/>
        <w:spacing w:before="0" w:beforeAutospacing="0" w:after="0" w:afterAutospacing="0"/>
        <w:rPr>
          <w:rFonts w:ascii="Calibri" w:hAnsi="Calibri"/>
          <w:color w:val="000000"/>
          <w:sz w:val="22"/>
          <w:szCs w:val="22"/>
          <w:lang w:val="es-MX"/>
        </w:rPr>
      </w:pPr>
    </w:p>
    <w:p w:rsidR="00E875D9" w:rsidRDefault="00E875D9" w:rsidP="00F47CE1">
      <w:pPr>
        <w:pStyle w:val="NormalWeb"/>
        <w:spacing w:before="0" w:beforeAutospacing="0" w:after="0" w:afterAutospacing="0"/>
        <w:rPr>
          <w:rFonts w:ascii="Calibri" w:hAnsi="Calibri"/>
          <w:color w:val="000000"/>
          <w:sz w:val="22"/>
          <w:szCs w:val="22"/>
          <w:lang w:val="es-MX"/>
        </w:rPr>
      </w:pPr>
    </w:p>
    <w:p w:rsidR="00E875D9" w:rsidRDefault="00E875D9" w:rsidP="00F47CE1">
      <w:pPr>
        <w:pStyle w:val="NormalWeb"/>
        <w:spacing w:before="0" w:beforeAutospacing="0" w:after="0" w:afterAutospacing="0"/>
        <w:rPr>
          <w:rFonts w:ascii="Calibri" w:hAnsi="Calibri"/>
          <w:color w:val="000000"/>
          <w:sz w:val="22"/>
          <w:szCs w:val="22"/>
          <w:lang w:val="es-MX"/>
        </w:rPr>
      </w:pPr>
    </w:p>
    <w:p w:rsidR="00E875D9" w:rsidRDefault="00E875D9" w:rsidP="00F47CE1">
      <w:pPr>
        <w:pStyle w:val="NormalWeb"/>
        <w:spacing w:before="0" w:beforeAutospacing="0" w:after="0" w:afterAutospacing="0"/>
        <w:rPr>
          <w:rFonts w:ascii="Calibri" w:hAnsi="Calibri"/>
          <w:color w:val="000000"/>
          <w:sz w:val="22"/>
          <w:szCs w:val="22"/>
          <w:lang w:val="es-MX"/>
        </w:rPr>
      </w:pPr>
    </w:p>
    <w:p w:rsidR="00E875D9" w:rsidRDefault="00E875D9" w:rsidP="00F47CE1">
      <w:pPr>
        <w:pStyle w:val="NormalWeb"/>
        <w:spacing w:before="0" w:beforeAutospacing="0" w:after="0" w:afterAutospacing="0"/>
        <w:rPr>
          <w:rFonts w:ascii="Calibri" w:hAnsi="Calibri"/>
          <w:color w:val="000000"/>
          <w:sz w:val="22"/>
          <w:szCs w:val="22"/>
          <w:lang w:val="es-MX"/>
        </w:rPr>
      </w:pPr>
    </w:p>
    <w:tbl>
      <w:tblPr>
        <w:tblW w:w="9962" w:type="dxa"/>
        <w:jc w:val="center"/>
        <w:tblInd w:w="51" w:type="dxa"/>
        <w:tblCellMar>
          <w:left w:w="70" w:type="dxa"/>
          <w:right w:w="70" w:type="dxa"/>
        </w:tblCellMar>
        <w:tblLook w:val="04A0"/>
      </w:tblPr>
      <w:tblGrid>
        <w:gridCol w:w="4052"/>
        <w:gridCol w:w="1273"/>
        <w:gridCol w:w="1584"/>
        <w:gridCol w:w="1584"/>
        <w:gridCol w:w="1469"/>
      </w:tblGrid>
      <w:tr w:rsidR="00F77951" w:rsidRPr="00F77951" w:rsidTr="00E875D9">
        <w:trPr>
          <w:trHeight w:val="260"/>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eastAsia="Times New Roman" w:cs="Calibri"/>
                <w:b/>
                <w:bCs/>
                <w:color w:val="000000"/>
                <w:sz w:val="20"/>
                <w:szCs w:val="20"/>
                <w:lang w:eastAsia="es-MX"/>
              </w:rPr>
            </w:pPr>
            <w:r w:rsidRPr="00F77951">
              <w:rPr>
                <w:rFonts w:eastAsia="Times New Roman" w:cs="Calibri"/>
                <w:b/>
                <w:bCs/>
                <w:color w:val="000000"/>
                <w:sz w:val="20"/>
                <w:szCs w:val="20"/>
                <w:lang w:eastAsia="es-MX"/>
              </w:rPr>
              <w:t>CUENTA</w:t>
            </w:r>
          </w:p>
        </w:tc>
        <w:tc>
          <w:tcPr>
            <w:tcW w:w="1273" w:type="dxa"/>
            <w:tcBorders>
              <w:top w:val="single" w:sz="8" w:space="0" w:color="auto"/>
              <w:left w:val="nil"/>
              <w:bottom w:val="single" w:sz="8" w:space="0" w:color="auto"/>
              <w:right w:val="nil"/>
            </w:tcBorders>
            <w:shd w:val="clear" w:color="auto" w:fill="auto"/>
            <w:noWrap/>
            <w:hideMark/>
          </w:tcPr>
          <w:p w:rsidR="00F77951" w:rsidRPr="00F77951" w:rsidRDefault="00F77951" w:rsidP="00F77951">
            <w:pPr>
              <w:spacing w:after="0" w:line="240" w:lineRule="auto"/>
              <w:rPr>
                <w:rFonts w:eastAsia="Times New Roman" w:cs="Calibri"/>
                <w:b/>
                <w:bCs/>
                <w:color w:val="000000"/>
                <w:sz w:val="20"/>
                <w:szCs w:val="20"/>
                <w:lang w:eastAsia="es-MX"/>
              </w:rPr>
            </w:pPr>
            <w:r w:rsidRPr="00F77951">
              <w:rPr>
                <w:rFonts w:eastAsia="Times New Roman" w:cs="Calibri"/>
                <w:b/>
                <w:bCs/>
                <w:color w:val="000000"/>
                <w:sz w:val="20"/>
                <w:szCs w:val="20"/>
                <w:lang w:eastAsia="es-MX"/>
              </w:rPr>
              <w:t>SALDO INICIAL</w:t>
            </w:r>
          </w:p>
        </w:tc>
        <w:tc>
          <w:tcPr>
            <w:tcW w:w="1584" w:type="dxa"/>
            <w:tcBorders>
              <w:top w:val="single" w:sz="8" w:space="0" w:color="auto"/>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rPr>
                <w:rFonts w:eastAsia="Times New Roman" w:cs="Calibri"/>
                <w:b/>
                <w:bCs/>
                <w:color w:val="000000"/>
                <w:sz w:val="20"/>
                <w:szCs w:val="20"/>
                <w:lang w:eastAsia="es-MX"/>
              </w:rPr>
            </w:pPr>
            <w:r w:rsidRPr="00F77951">
              <w:rPr>
                <w:rFonts w:eastAsia="Times New Roman" w:cs="Calibri"/>
                <w:b/>
                <w:bCs/>
                <w:color w:val="000000"/>
                <w:sz w:val="20"/>
                <w:szCs w:val="20"/>
                <w:lang w:eastAsia="es-MX"/>
              </w:rPr>
              <w:t>CARGOS</w:t>
            </w:r>
          </w:p>
        </w:tc>
        <w:tc>
          <w:tcPr>
            <w:tcW w:w="1584" w:type="dxa"/>
            <w:tcBorders>
              <w:top w:val="single" w:sz="8" w:space="0" w:color="auto"/>
              <w:left w:val="nil"/>
              <w:bottom w:val="single" w:sz="8" w:space="0" w:color="auto"/>
              <w:right w:val="nil"/>
            </w:tcBorders>
            <w:shd w:val="clear" w:color="auto" w:fill="auto"/>
            <w:noWrap/>
            <w:hideMark/>
          </w:tcPr>
          <w:p w:rsidR="00F77951" w:rsidRPr="00F77951" w:rsidRDefault="00F77951" w:rsidP="00F77951">
            <w:pPr>
              <w:spacing w:after="0" w:line="240" w:lineRule="auto"/>
              <w:rPr>
                <w:rFonts w:eastAsia="Times New Roman" w:cs="Calibri"/>
                <w:b/>
                <w:bCs/>
                <w:color w:val="000000"/>
                <w:sz w:val="20"/>
                <w:szCs w:val="20"/>
                <w:lang w:eastAsia="es-MX"/>
              </w:rPr>
            </w:pPr>
            <w:r w:rsidRPr="00F77951">
              <w:rPr>
                <w:rFonts w:eastAsia="Times New Roman" w:cs="Calibri"/>
                <w:b/>
                <w:bCs/>
                <w:color w:val="000000"/>
                <w:sz w:val="20"/>
                <w:szCs w:val="20"/>
                <w:lang w:eastAsia="es-MX"/>
              </w:rPr>
              <w:t>ABONOS</w:t>
            </w:r>
          </w:p>
        </w:tc>
        <w:tc>
          <w:tcPr>
            <w:tcW w:w="1469" w:type="dxa"/>
            <w:tcBorders>
              <w:top w:val="single" w:sz="8" w:space="0" w:color="auto"/>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rPr>
                <w:rFonts w:eastAsia="Times New Roman" w:cs="Calibri"/>
                <w:b/>
                <w:bCs/>
                <w:color w:val="000000"/>
                <w:sz w:val="20"/>
                <w:szCs w:val="20"/>
                <w:lang w:eastAsia="es-MX"/>
              </w:rPr>
            </w:pPr>
            <w:r w:rsidRPr="00F77951">
              <w:rPr>
                <w:rFonts w:eastAsia="Times New Roman" w:cs="Calibri"/>
                <w:b/>
                <w:bCs/>
                <w:color w:val="000000"/>
                <w:sz w:val="20"/>
                <w:szCs w:val="20"/>
                <w:lang w:eastAsia="es-MX"/>
              </w:rPr>
              <w:t>SALDO FINAL</w:t>
            </w:r>
          </w:p>
        </w:tc>
      </w:tr>
      <w:tr w:rsidR="00F77951" w:rsidRPr="00F77951" w:rsidTr="00E875D9">
        <w:trPr>
          <w:trHeight w:val="304"/>
          <w:jc w:val="center"/>
        </w:trPr>
        <w:tc>
          <w:tcPr>
            <w:tcW w:w="4052" w:type="dxa"/>
            <w:tcBorders>
              <w:top w:val="nil"/>
              <w:left w:val="single" w:sz="8" w:space="0" w:color="auto"/>
              <w:bottom w:val="nil"/>
              <w:right w:val="nil"/>
            </w:tcBorders>
            <w:shd w:val="clear" w:color="auto" w:fill="auto"/>
            <w:noWrap/>
            <w:hideMark/>
          </w:tcPr>
          <w:p w:rsidR="00F77951" w:rsidRPr="00F77951" w:rsidRDefault="00F77951" w:rsidP="00F77951">
            <w:pPr>
              <w:spacing w:after="0" w:line="240" w:lineRule="auto"/>
              <w:rPr>
                <w:rFonts w:eastAsia="Times New Roman" w:cs="Calibri"/>
                <w:color w:val="000000"/>
                <w:lang w:eastAsia="es-MX"/>
              </w:rPr>
            </w:pPr>
            <w:r w:rsidRPr="00F77951">
              <w:rPr>
                <w:rFonts w:eastAsia="Times New Roman" w:cs="Calibri"/>
                <w:color w:val="000000"/>
                <w:lang w:eastAsia="es-MX"/>
              </w:rPr>
              <w:t> </w:t>
            </w:r>
          </w:p>
        </w:tc>
        <w:tc>
          <w:tcPr>
            <w:tcW w:w="1273" w:type="dxa"/>
            <w:tcBorders>
              <w:top w:val="nil"/>
              <w:left w:val="nil"/>
              <w:bottom w:val="nil"/>
              <w:right w:val="nil"/>
            </w:tcBorders>
            <w:shd w:val="clear" w:color="auto" w:fill="auto"/>
            <w:noWrap/>
            <w:hideMark/>
          </w:tcPr>
          <w:p w:rsidR="00F77951" w:rsidRPr="00F77951" w:rsidRDefault="00F77951" w:rsidP="00F77951">
            <w:pPr>
              <w:spacing w:after="0" w:line="240" w:lineRule="auto"/>
              <w:rPr>
                <w:rFonts w:eastAsia="Times New Roman" w:cs="Calibri"/>
                <w:color w:val="000000"/>
                <w:lang w:eastAsia="es-MX"/>
              </w:rPr>
            </w:pPr>
          </w:p>
        </w:tc>
        <w:tc>
          <w:tcPr>
            <w:tcW w:w="1584" w:type="dxa"/>
            <w:tcBorders>
              <w:top w:val="nil"/>
              <w:left w:val="single" w:sz="8" w:space="0" w:color="auto"/>
              <w:bottom w:val="nil"/>
              <w:right w:val="single" w:sz="8" w:space="0" w:color="auto"/>
            </w:tcBorders>
            <w:shd w:val="clear" w:color="auto" w:fill="auto"/>
            <w:noWrap/>
            <w:hideMark/>
          </w:tcPr>
          <w:p w:rsidR="00F77951" w:rsidRPr="00F77951" w:rsidRDefault="00F77951" w:rsidP="00F77951">
            <w:pPr>
              <w:spacing w:after="0" w:line="240" w:lineRule="auto"/>
              <w:rPr>
                <w:rFonts w:eastAsia="Times New Roman" w:cs="Calibri"/>
                <w:color w:val="000000"/>
                <w:lang w:eastAsia="es-MX"/>
              </w:rPr>
            </w:pPr>
            <w:r w:rsidRPr="00F77951">
              <w:rPr>
                <w:rFonts w:eastAsia="Times New Roman" w:cs="Calibri"/>
                <w:color w:val="000000"/>
                <w:lang w:eastAsia="es-MX"/>
              </w:rPr>
              <w:t> </w:t>
            </w:r>
          </w:p>
        </w:tc>
        <w:tc>
          <w:tcPr>
            <w:tcW w:w="1584" w:type="dxa"/>
            <w:tcBorders>
              <w:top w:val="nil"/>
              <w:left w:val="nil"/>
              <w:bottom w:val="nil"/>
              <w:right w:val="single" w:sz="8" w:space="0" w:color="auto"/>
            </w:tcBorders>
            <w:shd w:val="clear" w:color="auto" w:fill="auto"/>
            <w:noWrap/>
            <w:hideMark/>
          </w:tcPr>
          <w:p w:rsidR="00F77951" w:rsidRPr="00F77951" w:rsidRDefault="00F77951" w:rsidP="00F77951">
            <w:pPr>
              <w:spacing w:after="0" w:line="240" w:lineRule="auto"/>
              <w:rPr>
                <w:rFonts w:eastAsia="Times New Roman" w:cs="Calibri"/>
                <w:color w:val="000000"/>
                <w:lang w:eastAsia="es-MX"/>
              </w:rPr>
            </w:pPr>
            <w:r w:rsidRPr="00F77951">
              <w:rPr>
                <w:rFonts w:eastAsia="Times New Roman" w:cs="Calibri"/>
                <w:color w:val="000000"/>
                <w:lang w:eastAsia="es-MX"/>
              </w:rPr>
              <w:t> </w:t>
            </w:r>
          </w:p>
        </w:tc>
        <w:tc>
          <w:tcPr>
            <w:tcW w:w="1469"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rPr>
                <w:rFonts w:eastAsia="Times New Roman" w:cs="Calibri"/>
                <w:color w:val="000000"/>
                <w:lang w:eastAsia="es-MX"/>
              </w:rPr>
            </w:pPr>
            <w:r w:rsidRPr="00F77951">
              <w:rPr>
                <w:rFonts w:eastAsia="Times New Roman" w:cs="Calibri"/>
                <w:color w:val="000000"/>
                <w:lang w:eastAsia="es-MX"/>
              </w:rPr>
              <w:t> </w:t>
            </w:r>
          </w:p>
        </w:tc>
      </w:tr>
      <w:tr w:rsidR="00F77951" w:rsidRPr="00F77951" w:rsidTr="00E875D9">
        <w:trPr>
          <w:trHeight w:val="304"/>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b/>
                <w:bCs/>
                <w:color w:val="000000"/>
                <w:sz w:val="20"/>
                <w:szCs w:val="20"/>
                <w:lang w:eastAsia="es-MX"/>
              </w:rPr>
            </w:pPr>
            <w:r w:rsidRPr="00F77951">
              <w:rPr>
                <w:rFonts w:ascii="Arial" w:eastAsia="Times New Roman" w:hAnsi="Arial" w:cs="Arial"/>
                <w:b/>
                <w:bCs/>
                <w:color w:val="000000"/>
                <w:sz w:val="20"/>
                <w:szCs w:val="20"/>
                <w:lang w:eastAsia="es-MX"/>
              </w:rPr>
              <w:t>8.1 LEY DE INGRESOS</w:t>
            </w:r>
          </w:p>
        </w:tc>
        <w:tc>
          <w:tcPr>
            <w:tcW w:w="1273" w:type="dxa"/>
            <w:tcBorders>
              <w:top w:val="single" w:sz="8" w:space="0" w:color="auto"/>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single" w:sz="8" w:space="0" w:color="auto"/>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20,892,831.10</w:t>
            </w:r>
          </w:p>
        </w:tc>
        <w:tc>
          <w:tcPr>
            <w:tcW w:w="1584" w:type="dxa"/>
            <w:tcBorders>
              <w:top w:val="single" w:sz="8" w:space="0" w:color="auto"/>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20,892,831.10</w:t>
            </w:r>
          </w:p>
        </w:tc>
        <w:tc>
          <w:tcPr>
            <w:tcW w:w="1469"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nil"/>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8.1.1 Ley de Ingresos Estimada</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469"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nil"/>
              <w:left w:val="single" w:sz="8" w:space="0" w:color="auto"/>
              <w:bottom w:val="nil"/>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8.1.2 Ley de Ingresos por Ejecutar</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c>
          <w:tcPr>
            <w:tcW w:w="1584"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469" w:type="dxa"/>
            <w:tcBorders>
              <w:top w:val="nil"/>
              <w:left w:val="nil"/>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r>
      <w:tr w:rsidR="00F77951" w:rsidRPr="00F77951" w:rsidTr="00E875D9">
        <w:trPr>
          <w:trHeight w:val="506"/>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8.1.3 Modificaciones a la Ley de Ingresos Estimada</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nil"/>
              <w:left w:val="single" w:sz="8" w:space="0" w:color="auto"/>
              <w:bottom w:val="nil"/>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8.1.4 Ley de Ingresos Devengada</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8.1.5 Ley de Ingresos Recaudada</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10,446,415.55</w:t>
            </w:r>
          </w:p>
        </w:tc>
      </w:tr>
      <w:tr w:rsidR="00F77951" w:rsidRPr="00F77951" w:rsidTr="00E875D9">
        <w:trPr>
          <w:trHeight w:val="304"/>
          <w:jc w:val="center"/>
        </w:trPr>
        <w:tc>
          <w:tcPr>
            <w:tcW w:w="4052" w:type="dxa"/>
            <w:tcBorders>
              <w:top w:val="nil"/>
              <w:left w:val="single" w:sz="8" w:space="0" w:color="auto"/>
              <w:bottom w:val="nil"/>
              <w:right w:val="nil"/>
            </w:tcBorders>
            <w:shd w:val="clear" w:color="auto" w:fill="auto"/>
            <w:hideMark/>
          </w:tcPr>
          <w:p w:rsidR="00F77951" w:rsidRPr="00F77951" w:rsidRDefault="00F77951" w:rsidP="00F77951">
            <w:pPr>
              <w:spacing w:after="0" w:line="240" w:lineRule="auto"/>
              <w:rPr>
                <w:rFonts w:ascii="Arial" w:eastAsia="Times New Roman" w:hAnsi="Arial" w:cs="Arial"/>
                <w:b/>
                <w:bCs/>
                <w:color w:val="000000"/>
                <w:sz w:val="20"/>
                <w:szCs w:val="20"/>
                <w:lang w:eastAsia="es-MX"/>
              </w:rPr>
            </w:pPr>
            <w:r w:rsidRPr="00F77951">
              <w:rPr>
                <w:rFonts w:ascii="Arial" w:eastAsia="Times New Roman" w:hAnsi="Arial" w:cs="Arial"/>
                <w:b/>
                <w:bCs/>
                <w:color w:val="000000"/>
                <w:sz w:val="20"/>
                <w:szCs w:val="20"/>
                <w:lang w:eastAsia="es-MX"/>
              </w:rPr>
              <w:t>8.2 PRESUPUESTO DE EGRESOS</w:t>
            </w:r>
          </w:p>
        </w:tc>
        <w:tc>
          <w:tcPr>
            <w:tcW w:w="1273" w:type="dxa"/>
            <w:tcBorders>
              <w:top w:val="nil"/>
              <w:left w:val="single" w:sz="8" w:space="0" w:color="auto"/>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122,314,465.93</w:t>
            </w:r>
          </w:p>
        </w:tc>
        <w:tc>
          <w:tcPr>
            <w:tcW w:w="1584" w:type="dxa"/>
            <w:tcBorders>
              <w:top w:val="nil"/>
              <w:left w:val="single" w:sz="8" w:space="0" w:color="auto"/>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122,314,465.93</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67,046,284.84</w:t>
            </w:r>
          </w:p>
        </w:tc>
      </w:tr>
      <w:tr w:rsidR="00F77951" w:rsidRPr="00F77951" w:rsidTr="00E875D9">
        <w:trPr>
          <w:trHeight w:val="304"/>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8.2.1 Presupuesto de Egresos Aprobado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32,413,598.42</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32,413,598.42</w:t>
            </w:r>
          </w:p>
        </w:tc>
      </w:tr>
      <w:tr w:rsidR="00F77951" w:rsidRPr="00F77951" w:rsidTr="00E875D9">
        <w:trPr>
          <w:trHeight w:val="304"/>
          <w:jc w:val="center"/>
        </w:trPr>
        <w:tc>
          <w:tcPr>
            <w:tcW w:w="4052" w:type="dxa"/>
            <w:tcBorders>
              <w:top w:val="nil"/>
              <w:left w:val="single" w:sz="8" w:space="0" w:color="auto"/>
              <w:bottom w:val="nil"/>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8.2.2 Presupuesto de Egresos por Ejercer</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44,234,215.42</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32,828,438.88</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11,405,776.54</w:t>
            </w:r>
          </w:p>
        </w:tc>
      </w:tr>
      <w:tr w:rsidR="00F77951" w:rsidRPr="00F77951" w:rsidTr="00E875D9">
        <w:trPr>
          <w:trHeight w:val="506"/>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8.2.3 Modificaciones al Presupuesto de Egresos Aprobado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10,711,073.00</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11,820,617.00</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1,109,544.00</w:t>
            </w:r>
          </w:p>
        </w:tc>
      </w:tr>
      <w:tr w:rsidR="00F77951" w:rsidRPr="00F77951" w:rsidTr="00E875D9">
        <w:trPr>
          <w:trHeight w:val="304"/>
          <w:jc w:val="center"/>
        </w:trPr>
        <w:tc>
          <w:tcPr>
            <w:tcW w:w="4052" w:type="dxa"/>
            <w:tcBorders>
              <w:top w:val="nil"/>
              <w:left w:val="single" w:sz="8" w:space="0" w:color="auto"/>
              <w:bottom w:val="nil"/>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8.2.4 Presupuesto de Egresos Comprometido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22,117,365.88</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7,033,428.67</w:t>
            </w:r>
          </w:p>
        </w:tc>
      </w:tr>
      <w:tr w:rsidR="00F77951" w:rsidRPr="00F77951" w:rsidTr="00E875D9">
        <w:trPr>
          <w:trHeight w:val="304"/>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8.2.5 Presupuesto de Egresos Devengado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nil"/>
              <w:left w:val="single" w:sz="8" w:space="0" w:color="auto"/>
              <w:bottom w:val="nil"/>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8.2.6 Presupuesto de Egresos Ejercido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r>
      <w:tr w:rsidR="00F77951" w:rsidRPr="00F77951" w:rsidTr="00E875D9">
        <w:trPr>
          <w:trHeight w:val="304"/>
          <w:jc w:val="center"/>
        </w:trPr>
        <w:tc>
          <w:tcPr>
            <w:tcW w:w="4052" w:type="dxa"/>
            <w:tcBorders>
              <w:top w:val="single" w:sz="8" w:space="0" w:color="auto"/>
              <w:left w:val="single" w:sz="8" w:space="0" w:color="auto"/>
              <w:bottom w:val="single" w:sz="8" w:space="0" w:color="auto"/>
              <w:right w:val="single" w:sz="8" w:space="0" w:color="auto"/>
            </w:tcBorders>
            <w:shd w:val="clear" w:color="auto" w:fill="auto"/>
            <w:hideMark/>
          </w:tcPr>
          <w:p w:rsidR="00F77951" w:rsidRPr="00F77951" w:rsidRDefault="00F77951" w:rsidP="00F77951">
            <w:pPr>
              <w:spacing w:after="0" w:line="240" w:lineRule="auto"/>
              <w:rPr>
                <w:rFonts w:ascii="Arial" w:eastAsia="Times New Roman" w:hAnsi="Arial" w:cs="Arial"/>
                <w:color w:val="000000"/>
                <w:sz w:val="20"/>
                <w:szCs w:val="20"/>
                <w:lang w:eastAsia="es-MX"/>
              </w:rPr>
            </w:pPr>
            <w:r w:rsidRPr="00F77951">
              <w:rPr>
                <w:rFonts w:ascii="Arial" w:eastAsia="Times New Roman" w:hAnsi="Arial" w:cs="Arial"/>
                <w:color w:val="000000"/>
                <w:sz w:val="20"/>
                <w:szCs w:val="20"/>
                <w:lang w:eastAsia="es-MX"/>
              </w:rPr>
              <w:t>8.2.7 Presupuesto de Egresos Pagado</w:t>
            </w:r>
          </w:p>
        </w:tc>
        <w:tc>
          <w:tcPr>
            <w:tcW w:w="1273"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584"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c>
          <w:tcPr>
            <w:tcW w:w="1584" w:type="dxa"/>
            <w:tcBorders>
              <w:top w:val="nil"/>
              <w:left w:val="nil"/>
              <w:bottom w:val="single" w:sz="8" w:space="0" w:color="auto"/>
              <w:right w:val="nil"/>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0.00</w:t>
            </w:r>
          </w:p>
        </w:tc>
        <w:tc>
          <w:tcPr>
            <w:tcW w:w="1469" w:type="dxa"/>
            <w:tcBorders>
              <w:top w:val="nil"/>
              <w:left w:val="single" w:sz="8" w:space="0" w:color="auto"/>
              <w:bottom w:val="single" w:sz="8" w:space="0" w:color="auto"/>
              <w:right w:val="single" w:sz="8" w:space="0" w:color="auto"/>
            </w:tcBorders>
            <w:shd w:val="clear" w:color="auto" w:fill="auto"/>
            <w:noWrap/>
            <w:hideMark/>
          </w:tcPr>
          <w:p w:rsidR="00F77951" w:rsidRPr="00F77951" w:rsidRDefault="00F77951" w:rsidP="00F77951">
            <w:pPr>
              <w:spacing w:after="0" w:line="240" w:lineRule="auto"/>
              <w:jc w:val="right"/>
              <w:rPr>
                <w:rFonts w:eastAsia="Times New Roman" w:cs="Calibri"/>
                <w:color w:val="000000"/>
                <w:lang w:eastAsia="es-MX"/>
              </w:rPr>
            </w:pPr>
            <w:r w:rsidRPr="00F77951">
              <w:rPr>
                <w:rFonts w:eastAsia="Times New Roman" w:cs="Calibri"/>
                <w:color w:val="000000"/>
                <w:lang w:eastAsia="es-MX"/>
              </w:rPr>
              <w:t>15,083,937.21</w:t>
            </w:r>
          </w:p>
        </w:tc>
      </w:tr>
    </w:tbl>
    <w:p w:rsidR="00DB591A" w:rsidRDefault="00DB591A" w:rsidP="009C73E2">
      <w:pPr>
        <w:spacing w:after="0" w:line="240" w:lineRule="auto"/>
        <w:rPr>
          <w:b/>
          <w:u w:val="single"/>
        </w:rPr>
      </w:pPr>
    </w:p>
    <w:p w:rsidR="00E875D9" w:rsidRDefault="00E875D9" w:rsidP="009C73E2">
      <w:pPr>
        <w:spacing w:after="0" w:line="240" w:lineRule="auto"/>
        <w:rPr>
          <w:b/>
          <w:u w:val="single"/>
        </w:rPr>
      </w:pPr>
    </w:p>
    <w:p w:rsidR="00E875D9" w:rsidRDefault="00E875D9" w:rsidP="009C73E2">
      <w:pPr>
        <w:spacing w:after="0" w:line="240" w:lineRule="auto"/>
        <w:rPr>
          <w:b/>
          <w:u w:val="single"/>
        </w:rPr>
      </w:pPr>
    </w:p>
    <w:p w:rsidR="008F599B" w:rsidRPr="00784A74" w:rsidRDefault="009C73E2" w:rsidP="009C73E2">
      <w:pPr>
        <w:spacing w:after="0" w:line="240" w:lineRule="auto"/>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3A4B41">
        <w:rPr>
          <w:rFonts w:cs="Arial-BoldMT"/>
          <w:bCs/>
        </w:rPr>
        <w:t>Escobedo</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3A4B41">
        <w:rPr>
          <w:rFonts w:cs="Arial-BoldMT"/>
          <w:bCs/>
        </w:rPr>
        <w:t>Escobedo</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6C2DE1" w:rsidP="006A07F5">
      <w:pPr>
        <w:spacing w:after="0" w:line="240" w:lineRule="auto"/>
        <w:jc w:val="both"/>
        <w:rPr>
          <w:rFonts w:cs="Arial-BoldMT"/>
          <w:b/>
          <w:bCs/>
        </w:rPr>
      </w:pPr>
    </w:p>
    <w:p w:rsidR="006C2DE1" w:rsidRDefault="006C2DE1" w:rsidP="006A07F5">
      <w:pPr>
        <w:spacing w:after="0" w:line="240" w:lineRule="auto"/>
        <w:jc w:val="both"/>
        <w:rPr>
          <w:lang w:val="es-ES"/>
        </w:rPr>
      </w:pPr>
      <w:r>
        <w:rPr>
          <w:lang w:val="es-ES"/>
        </w:rPr>
        <w:t xml:space="preserve">Se constituyó como municipio en </w:t>
      </w:r>
      <w:hyperlink r:id="rId8" w:tooltip="1905" w:history="1">
        <w:r>
          <w:rPr>
            <w:rStyle w:val="Hipervnculo"/>
            <w:lang w:val="es-ES"/>
          </w:rPr>
          <w:t>1905</w:t>
        </w:r>
      </w:hyperlink>
      <w:r>
        <w:rPr>
          <w:lang w:val="es-ES"/>
        </w:rPr>
        <w:t xml:space="preserve"> y su cabecera </w:t>
      </w:r>
      <w:proofErr w:type="spellStart"/>
      <w:r>
        <w:rPr>
          <w:lang w:val="es-ES"/>
        </w:rPr>
        <w:t>esta</w:t>
      </w:r>
      <w:proofErr w:type="spellEnd"/>
      <w:r>
        <w:rPr>
          <w:lang w:val="es-ES"/>
        </w:rPr>
        <w:t xml:space="preserve"> situada en el ejido Primero de Mayo,</w:t>
      </w:r>
    </w:p>
    <w:p w:rsidR="006C2DE1" w:rsidRDefault="006C2DE1" w:rsidP="006A07F5">
      <w:pPr>
        <w:spacing w:after="0" w:line="240" w:lineRule="auto"/>
        <w:jc w:val="both"/>
        <w:rPr>
          <w:vertAlign w:val="superscript"/>
          <w:lang w:val="es-ES"/>
        </w:rPr>
      </w:pPr>
      <w:r>
        <w:rPr>
          <w:lang w:val="es-ES"/>
        </w:rPr>
        <w:t xml:space="preserve">El territorio tiene una superficie de 1,025.78 km2 y colinda con el municipio de </w:t>
      </w:r>
      <w:proofErr w:type="spellStart"/>
      <w:r>
        <w:rPr>
          <w:lang w:val="es-ES"/>
        </w:rPr>
        <w:t>Abasolo</w:t>
      </w:r>
      <w:proofErr w:type="spellEnd"/>
      <w:r>
        <w:rPr>
          <w:lang w:val="es-ES"/>
        </w:rPr>
        <w:t xml:space="preserve">, en este municipio actualmente se encuentran grandes empresas de extracción del gas </w:t>
      </w:r>
      <w:proofErr w:type="spellStart"/>
      <w:r>
        <w:rPr>
          <w:lang w:val="es-ES"/>
        </w:rPr>
        <w:t>Shale</w:t>
      </w:r>
      <w:proofErr w:type="spellEnd"/>
      <w:r>
        <w:rPr>
          <w:lang w:val="es-ES"/>
        </w:rPr>
        <w:t xml:space="preserve"> y como dato general se informa que el partido político que actualmente tiene la mayoría es el PRI.</w:t>
      </w:r>
    </w:p>
    <w:p w:rsidR="006C2DE1" w:rsidRDefault="006C2DE1"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P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lastRenderedPageBreak/>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3A4B41">
        <w:t>Escobedo</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E875D9" w:rsidRDefault="00E875D9" w:rsidP="006A07F5">
      <w:pPr>
        <w:spacing w:after="0" w:line="240" w:lineRule="auto"/>
        <w:jc w:val="both"/>
        <w:rPr>
          <w:rFonts w:cs="Arial-BoldMT"/>
          <w:b/>
          <w:bCs/>
        </w:rPr>
      </w:pPr>
    </w:p>
    <w:p w:rsidR="00E875D9" w:rsidRDefault="00E875D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E875D9" w:rsidRDefault="00E875D9" w:rsidP="00D0194C">
      <w:pPr>
        <w:spacing w:after="0" w:line="240" w:lineRule="auto"/>
        <w:jc w:val="both"/>
        <w:rPr>
          <w:rFonts w:cs="Arial-BoldMT"/>
          <w:bCs/>
        </w:rPr>
      </w:pPr>
    </w:p>
    <w:p w:rsidR="00775367" w:rsidRDefault="00775367" w:rsidP="00D0194C">
      <w:pPr>
        <w:spacing w:after="0" w:line="240" w:lineRule="auto"/>
        <w:jc w:val="both"/>
        <w:rPr>
          <w:rFonts w:cs="Arial-BoldMT"/>
          <w:bCs/>
        </w:rPr>
      </w:pPr>
    </w:p>
    <w:p w:rsidR="00DA78FE" w:rsidRDefault="00775367" w:rsidP="00775367">
      <w:pPr>
        <w:tabs>
          <w:tab w:val="left" w:pos="1926"/>
        </w:tabs>
        <w:spacing w:after="0" w:line="240" w:lineRule="auto"/>
        <w:jc w:val="both"/>
        <w:rPr>
          <w:rFonts w:cs="Arial-BoldMT"/>
          <w:bCs/>
        </w:rPr>
      </w:pPr>
      <w:r>
        <w:rPr>
          <w:rFonts w:cs="Arial-BoldMT"/>
          <w:bCs/>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DA78FE" w:rsidRPr="00CD06C4" w:rsidTr="007061BF">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DA78FE" w:rsidRPr="00BF015B" w:rsidRDefault="00DA78FE" w:rsidP="007061BF">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BIENES MUEBLES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33.3</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b/>
                <w:color w:val="000000"/>
                <w:lang w:val="es-MX"/>
              </w:rPr>
              <w:t>Equipo de Transporte</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40" w:lineRule="exact"/>
              <w:ind w:firstLine="0"/>
              <w:jc w:val="center"/>
              <w:rPr>
                <w:rFonts w:cs="Arial"/>
                <w:color w:val="000000"/>
                <w:lang w:val="es-MX"/>
              </w:rPr>
            </w:pPr>
            <w:r w:rsidRPr="00BF015B">
              <w:rPr>
                <w:rFonts w:cs="Arial"/>
                <w:color w:val="000000"/>
                <w:lang w:val="es-MX"/>
              </w:rPr>
              <w:t>20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lastRenderedPageBreak/>
              <w:t>1.2.4.5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r w:rsidR="00DA78FE" w:rsidRPr="00CD06C4" w:rsidTr="007061BF">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DA78FE" w:rsidRPr="00BF015B" w:rsidRDefault="00DA78FE" w:rsidP="007061BF">
            <w:pPr>
              <w:pStyle w:val="Texto"/>
              <w:spacing w:line="226" w:lineRule="exact"/>
              <w:ind w:firstLine="0"/>
              <w:jc w:val="center"/>
              <w:rPr>
                <w:rFonts w:cs="Arial"/>
                <w:color w:val="000000"/>
                <w:lang w:val="es-MX"/>
              </w:rPr>
            </w:pPr>
            <w:r w:rsidRPr="00BF015B">
              <w:rPr>
                <w:rFonts w:cs="Arial"/>
                <w:color w:val="000000"/>
                <w:lang w:val="es-MX"/>
              </w:rPr>
              <w:t>10</w:t>
            </w:r>
          </w:p>
        </w:tc>
      </w:tr>
    </w:tbl>
    <w:p w:rsidR="00DA78FE" w:rsidRDefault="00DA78FE" w:rsidP="00D0194C">
      <w:pPr>
        <w:spacing w:after="0" w:line="240" w:lineRule="auto"/>
        <w:jc w:val="both"/>
        <w:rPr>
          <w:rFonts w:cs="Arial-BoldMT"/>
          <w:bCs/>
        </w:rPr>
      </w:pPr>
    </w:p>
    <w:p w:rsidR="00E875D9" w:rsidRPr="00784A74" w:rsidRDefault="00E875D9" w:rsidP="00D0194C">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E875D9" w:rsidRDefault="00E875D9" w:rsidP="004D73CD">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Default="00EA5FD0" w:rsidP="006A07F5">
      <w:pPr>
        <w:spacing w:after="0" w:line="240" w:lineRule="auto"/>
        <w:jc w:val="both"/>
        <w:rPr>
          <w:rFonts w:cs="Arial-BoldMT"/>
          <w:bCs/>
        </w:rPr>
      </w:pPr>
      <w:r w:rsidRPr="00EA5FD0">
        <w:rPr>
          <w:rFonts w:cs="Arial-BoldMT"/>
          <w:bCs/>
        </w:rPr>
        <w:t xml:space="preserve">Se presenta el reporte de recaudación del 01 de </w:t>
      </w:r>
      <w:r w:rsidR="00E875D9">
        <w:rPr>
          <w:rFonts w:cs="Arial-BoldMT"/>
          <w:bCs/>
        </w:rPr>
        <w:t xml:space="preserve">Enero </w:t>
      </w:r>
      <w:r w:rsidRPr="00EA5FD0">
        <w:rPr>
          <w:rFonts w:cs="Arial-BoldMT"/>
          <w:bCs/>
        </w:rPr>
        <w:t>al 3</w:t>
      </w:r>
      <w:r w:rsidR="00E875D9">
        <w:rPr>
          <w:rFonts w:cs="Arial-BoldMT"/>
          <w:bCs/>
        </w:rPr>
        <w:t>1</w:t>
      </w:r>
      <w:r w:rsidRPr="00EA5FD0">
        <w:rPr>
          <w:rFonts w:cs="Arial-BoldMT"/>
          <w:bCs/>
        </w:rPr>
        <w:t xml:space="preserve"> de </w:t>
      </w:r>
      <w:r w:rsidR="00E875D9">
        <w:rPr>
          <w:rFonts w:cs="Arial-BoldMT"/>
          <w:bCs/>
        </w:rPr>
        <w:t>Marzo</w:t>
      </w:r>
      <w:r w:rsidRPr="00EA5FD0">
        <w:rPr>
          <w:rFonts w:cs="Arial-BoldMT"/>
          <w:bCs/>
        </w:rPr>
        <w:t xml:space="preserve"> de 201</w:t>
      </w:r>
      <w:r w:rsidR="00E875D9">
        <w:rPr>
          <w:rFonts w:cs="Arial-BoldMT"/>
          <w:bCs/>
        </w:rPr>
        <w:t>7</w:t>
      </w:r>
      <w:r w:rsidRPr="00EA5FD0">
        <w:rPr>
          <w:rFonts w:cs="Arial-BoldMT"/>
          <w:bCs/>
        </w:rPr>
        <w:t>.</w:t>
      </w:r>
    </w:p>
    <w:p w:rsidR="009B294A" w:rsidRDefault="009B294A" w:rsidP="006A07F5">
      <w:pPr>
        <w:spacing w:after="0" w:line="240" w:lineRule="auto"/>
        <w:jc w:val="both"/>
        <w:rPr>
          <w:rFonts w:cs="Arial-BoldMT"/>
          <w:bCs/>
        </w:rPr>
      </w:pPr>
    </w:p>
    <w:tbl>
      <w:tblPr>
        <w:tblW w:w="6000" w:type="dxa"/>
        <w:jc w:val="center"/>
        <w:tblInd w:w="51" w:type="dxa"/>
        <w:tblCellMar>
          <w:left w:w="70" w:type="dxa"/>
          <w:right w:w="70" w:type="dxa"/>
        </w:tblCellMar>
        <w:tblLook w:val="04A0"/>
      </w:tblPr>
      <w:tblGrid>
        <w:gridCol w:w="2800"/>
        <w:gridCol w:w="1539"/>
        <w:gridCol w:w="1720"/>
      </w:tblGrid>
      <w:tr w:rsidR="00E875D9" w:rsidRPr="00E875D9" w:rsidTr="00E875D9">
        <w:trPr>
          <w:trHeight w:val="315"/>
          <w:jc w:val="center"/>
        </w:trPr>
        <w:tc>
          <w:tcPr>
            <w:tcW w:w="2800" w:type="dxa"/>
            <w:tcBorders>
              <w:top w:val="single" w:sz="8" w:space="0" w:color="auto"/>
              <w:left w:val="single" w:sz="8" w:space="0" w:color="auto"/>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lang w:eastAsia="es-MX"/>
              </w:rPr>
            </w:pPr>
            <w:r w:rsidRPr="00E875D9">
              <w:rPr>
                <w:rFonts w:eastAsia="Times New Roman" w:cs="Calibri"/>
                <w:b/>
                <w:bCs/>
                <w:color w:val="000000"/>
                <w:lang w:eastAsia="es-MX"/>
              </w:rPr>
              <w:t>CONCEPTO</w:t>
            </w:r>
          </w:p>
        </w:tc>
        <w:tc>
          <w:tcPr>
            <w:tcW w:w="1480" w:type="dxa"/>
            <w:tcBorders>
              <w:top w:val="single" w:sz="8" w:space="0" w:color="auto"/>
              <w:left w:val="nil"/>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lang w:eastAsia="es-MX"/>
              </w:rPr>
            </w:pPr>
            <w:r w:rsidRPr="00E875D9">
              <w:rPr>
                <w:rFonts w:eastAsia="Times New Roman" w:cs="Calibri"/>
                <w:b/>
                <w:bCs/>
                <w:color w:val="000000"/>
                <w:lang w:eastAsia="es-MX"/>
              </w:rPr>
              <w:t>MONTO</w:t>
            </w:r>
          </w:p>
        </w:tc>
        <w:tc>
          <w:tcPr>
            <w:tcW w:w="1720" w:type="dxa"/>
            <w:tcBorders>
              <w:top w:val="single" w:sz="8" w:space="0" w:color="auto"/>
              <w:left w:val="nil"/>
              <w:bottom w:val="single" w:sz="8" w:space="0" w:color="auto"/>
              <w:right w:val="single" w:sz="8" w:space="0" w:color="auto"/>
            </w:tcBorders>
            <w:shd w:val="clear" w:color="000000" w:fill="D8D8D8"/>
            <w:noWrap/>
            <w:hideMark/>
          </w:tcPr>
          <w:p w:rsidR="00E875D9" w:rsidRPr="00E875D9" w:rsidRDefault="00E875D9" w:rsidP="00E875D9">
            <w:pPr>
              <w:spacing w:after="0" w:line="240" w:lineRule="auto"/>
              <w:jc w:val="center"/>
              <w:rPr>
                <w:rFonts w:eastAsia="Times New Roman" w:cs="Calibri"/>
                <w:b/>
                <w:bCs/>
                <w:color w:val="000000"/>
                <w:sz w:val="20"/>
                <w:szCs w:val="20"/>
                <w:lang w:eastAsia="es-MX"/>
              </w:rPr>
            </w:pPr>
            <w:r w:rsidRPr="00E875D9">
              <w:rPr>
                <w:rFonts w:eastAsia="Times New Roman" w:cs="Calibri"/>
                <w:b/>
                <w:bCs/>
                <w:color w:val="000000"/>
                <w:sz w:val="20"/>
                <w:szCs w:val="20"/>
                <w:lang w:eastAsia="es-MX"/>
              </w:rPr>
              <w:t>PORCENTAJE</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color w:val="000000"/>
                <w:lang w:eastAsia="es-MX"/>
              </w:rPr>
            </w:pPr>
            <w:r w:rsidRPr="00E875D9">
              <w:rPr>
                <w:rFonts w:eastAsia="Times New Roman" w:cs="Calibri"/>
                <w:color w:val="000000"/>
                <w:lang w:eastAsia="es-MX"/>
              </w:rPr>
              <w:t>INGRESOS FEDERALES</w:t>
            </w:r>
          </w:p>
        </w:tc>
        <w:tc>
          <w:tcPr>
            <w:tcW w:w="1480" w:type="dxa"/>
            <w:tcBorders>
              <w:top w:val="nil"/>
              <w:left w:val="nil"/>
              <w:bottom w:val="single" w:sz="8" w:space="0" w:color="auto"/>
              <w:right w:val="single" w:sz="8" w:space="0" w:color="auto"/>
            </w:tcBorders>
            <w:shd w:val="clear" w:color="auto" w:fill="auto"/>
            <w:hideMark/>
          </w:tcPr>
          <w:p w:rsidR="00E875D9" w:rsidRPr="00E875D9" w:rsidRDefault="00E875D9" w:rsidP="00E875D9">
            <w:pPr>
              <w:spacing w:after="0" w:line="240" w:lineRule="auto"/>
              <w:jc w:val="right"/>
              <w:rPr>
                <w:rFonts w:eastAsia="Times New Roman" w:cs="Calibri"/>
                <w:color w:val="000000"/>
                <w:lang w:eastAsia="es-MX"/>
              </w:rPr>
            </w:pPr>
            <w:r w:rsidRPr="00E875D9">
              <w:rPr>
                <w:rFonts w:eastAsia="Times New Roman" w:cs="Calibri"/>
                <w:color w:val="000000"/>
                <w:lang w:eastAsia="es-MX"/>
              </w:rPr>
              <w:t>217,741.23</w:t>
            </w:r>
          </w:p>
        </w:tc>
        <w:tc>
          <w:tcPr>
            <w:tcW w:w="1720" w:type="dxa"/>
            <w:tcBorders>
              <w:top w:val="nil"/>
              <w:left w:val="nil"/>
              <w:bottom w:val="single" w:sz="8" w:space="0" w:color="auto"/>
              <w:right w:val="single" w:sz="8" w:space="0" w:color="auto"/>
            </w:tcBorders>
            <w:shd w:val="clear" w:color="auto" w:fill="auto"/>
            <w:noWrap/>
            <w:vAlign w:val="bottom"/>
            <w:hideMark/>
          </w:tcPr>
          <w:p w:rsidR="00E875D9" w:rsidRPr="00E875D9" w:rsidRDefault="00127D12" w:rsidP="00E875D9">
            <w:pPr>
              <w:spacing w:after="0" w:line="240" w:lineRule="auto"/>
              <w:jc w:val="center"/>
              <w:rPr>
                <w:rFonts w:eastAsia="Times New Roman" w:cs="Calibri"/>
                <w:color w:val="000000"/>
                <w:sz w:val="20"/>
                <w:szCs w:val="20"/>
                <w:lang w:eastAsia="es-MX"/>
              </w:rPr>
            </w:pPr>
            <w:r>
              <w:rPr>
                <w:rFonts w:eastAsia="Times New Roman" w:cs="Calibri"/>
                <w:color w:val="000000"/>
                <w:sz w:val="20"/>
                <w:szCs w:val="20"/>
                <w:lang w:eastAsia="es-MX"/>
              </w:rPr>
              <w:t>2</w:t>
            </w:r>
            <w:r w:rsidR="00E875D9" w:rsidRPr="00E875D9">
              <w:rPr>
                <w:rFonts w:eastAsia="Times New Roman" w:cs="Calibri"/>
                <w:color w:val="000000"/>
                <w:sz w:val="20"/>
                <w:szCs w:val="20"/>
                <w:lang w:eastAsia="es-MX"/>
              </w:rPr>
              <w:t>%</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color w:val="000000"/>
                <w:lang w:eastAsia="es-MX"/>
              </w:rPr>
            </w:pPr>
            <w:r w:rsidRPr="00E875D9">
              <w:rPr>
                <w:rFonts w:eastAsia="Times New Roman" w:cs="Calibri"/>
                <w:color w:val="000000"/>
                <w:lang w:eastAsia="es-MX"/>
              </w:rPr>
              <w:t>INGRESOS PROPIOS</w:t>
            </w:r>
          </w:p>
        </w:tc>
        <w:tc>
          <w:tcPr>
            <w:tcW w:w="1480" w:type="dxa"/>
            <w:tcBorders>
              <w:top w:val="nil"/>
              <w:left w:val="nil"/>
              <w:bottom w:val="single" w:sz="8" w:space="0" w:color="auto"/>
              <w:right w:val="single" w:sz="8" w:space="0" w:color="auto"/>
            </w:tcBorders>
            <w:shd w:val="clear" w:color="auto" w:fill="auto"/>
            <w:hideMark/>
          </w:tcPr>
          <w:p w:rsidR="00E875D9" w:rsidRPr="00E875D9" w:rsidRDefault="00E875D9" w:rsidP="00E875D9">
            <w:pPr>
              <w:spacing w:after="0" w:line="240" w:lineRule="auto"/>
              <w:jc w:val="right"/>
              <w:rPr>
                <w:rFonts w:eastAsia="Times New Roman" w:cs="Calibri"/>
                <w:color w:val="000000"/>
                <w:lang w:eastAsia="es-MX"/>
              </w:rPr>
            </w:pPr>
            <w:r w:rsidRPr="00E875D9">
              <w:rPr>
                <w:rFonts w:eastAsia="Times New Roman" w:cs="Calibri"/>
                <w:color w:val="000000"/>
                <w:lang w:eastAsia="es-MX"/>
              </w:rPr>
              <w:t>10,270,391.72</w:t>
            </w:r>
          </w:p>
        </w:tc>
        <w:tc>
          <w:tcPr>
            <w:tcW w:w="1720" w:type="dxa"/>
            <w:tcBorders>
              <w:top w:val="nil"/>
              <w:left w:val="nil"/>
              <w:bottom w:val="single" w:sz="8" w:space="0" w:color="auto"/>
              <w:right w:val="single" w:sz="8" w:space="0" w:color="auto"/>
            </w:tcBorders>
            <w:shd w:val="clear" w:color="auto" w:fill="auto"/>
            <w:noWrap/>
            <w:vAlign w:val="bottom"/>
            <w:hideMark/>
          </w:tcPr>
          <w:p w:rsidR="00E875D9" w:rsidRPr="00E875D9" w:rsidRDefault="00127D12" w:rsidP="00E875D9">
            <w:pPr>
              <w:spacing w:after="0" w:line="240" w:lineRule="auto"/>
              <w:jc w:val="center"/>
              <w:rPr>
                <w:rFonts w:eastAsia="Times New Roman" w:cs="Calibri"/>
                <w:color w:val="000000"/>
                <w:sz w:val="20"/>
                <w:szCs w:val="20"/>
                <w:lang w:eastAsia="es-MX"/>
              </w:rPr>
            </w:pPr>
            <w:r>
              <w:rPr>
                <w:rFonts w:eastAsia="Times New Roman" w:cs="Calibri"/>
                <w:color w:val="000000"/>
                <w:sz w:val="20"/>
                <w:szCs w:val="20"/>
                <w:lang w:eastAsia="es-MX"/>
              </w:rPr>
              <w:t>98</w:t>
            </w:r>
            <w:r w:rsidR="00E875D9" w:rsidRPr="00E875D9">
              <w:rPr>
                <w:rFonts w:eastAsia="Times New Roman" w:cs="Calibri"/>
                <w:color w:val="000000"/>
                <w:sz w:val="20"/>
                <w:szCs w:val="20"/>
                <w:lang w:eastAsia="es-MX"/>
              </w:rPr>
              <w:t>%</w:t>
            </w:r>
          </w:p>
        </w:tc>
      </w:tr>
      <w:tr w:rsidR="00E875D9" w:rsidRPr="00E875D9" w:rsidTr="00E875D9">
        <w:trPr>
          <w:trHeight w:val="315"/>
          <w:jc w:val="center"/>
        </w:trPr>
        <w:tc>
          <w:tcPr>
            <w:tcW w:w="2800" w:type="dxa"/>
            <w:tcBorders>
              <w:top w:val="nil"/>
              <w:left w:val="single" w:sz="8" w:space="0" w:color="auto"/>
              <w:bottom w:val="single" w:sz="8" w:space="0" w:color="auto"/>
              <w:right w:val="single" w:sz="8" w:space="0" w:color="auto"/>
            </w:tcBorders>
            <w:shd w:val="clear" w:color="auto" w:fill="auto"/>
            <w:noWrap/>
            <w:hideMark/>
          </w:tcPr>
          <w:p w:rsidR="00E875D9" w:rsidRPr="00E875D9" w:rsidRDefault="00E875D9" w:rsidP="00E875D9">
            <w:pPr>
              <w:spacing w:after="0" w:line="240" w:lineRule="auto"/>
              <w:rPr>
                <w:rFonts w:eastAsia="Times New Roman" w:cs="Calibri"/>
                <w:b/>
                <w:bCs/>
                <w:color w:val="000000"/>
                <w:lang w:eastAsia="es-MX"/>
              </w:rPr>
            </w:pPr>
            <w:r w:rsidRPr="00E875D9">
              <w:rPr>
                <w:rFonts w:eastAsia="Times New Roman" w:cs="Calibri"/>
                <w:b/>
                <w:bCs/>
                <w:color w:val="000000"/>
                <w:lang w:eastAsia="es-MX"/>
              </w:rPr>
              <w:t>TOTAL</w:t>
            </w:r>
          </w:p>
        </w:tc>
        <w:tc>
          <w:tcPr>
            <w:tcW w:w="1480" w:type="dxa"/>
            <w:tcBorders>
              <w:top w:val="nil"/>
              <w:left w:val="nil"/>
              <w:bottom w:val="single" w:sz="8" w:space="0" w:color="auto"/>
              <w:right w:val="single" w:sz="8" w:space="0" w:color="auto"/>
            </w:tcBorders>
            <w:shd w:val="clear" w:color="auto" w:fill="auto"/>
            <w:noWrap/>
            <w:hideMark/>
          </w:tcPr>
          <w:p w:rsidR="00E875D9" w:rsidRPr="00E875D9" w:rsidRDefault="00E875D9" w:rsidP="00E875D9">
            <w:pPr>
              <w:spacing w:after="0" w:line="240" w:lineRule="auto"/>
              <w:jc w:val="right"/>
              <w:rPr>
                <w:rFonts w:eastAsia="Times New Roman" w:cs="Calibri"/>
                <w:b/>
                <w:bCs/>
                <w:color w:val="000000"/>
                <w:lang w:eastAsia="es-MX"/>
              </w:rPr>
            </w:pPr>
            <w:r w:rsidRPr="00E875D9">
              <w:rPr>
                <w:rFonts w:eastAsia="Times New Roman" w:cs="Calibri"/>
                <w:b/>
                <w:bCs/>
                <w:color w:val="000000"/>
                <w:lang w:eastAsia="es-MX"/>
              </w:rPr>
              <w:t>$10,488,132.95</w:t>
            </w:r>
          </w:p>
        </w:tc>
        <w:tc>
          <w:tcPr>
            <w:tcW w:w="1720" w:type="dxa"/>
            <w:tcBorders>
              <w:top w:val="nil"/>
              <w:left w:val="nil"/>
              <w:bottom w:val="nil"/>
              <w:right w:val="nil"/>
            </w:tcBorders>
            <w:shd w:val="clear" w:color="auto" w:fill="auto"/>
            <w:noWrap/>
            <w:vAlign w:val="bottom"/>
            <w:hideMark/>
          </w:tcPr>
          <w:p w:rsidR="00E875D9" w:rsidRPr="00E875D9" w:rsidRDefault="00E875D9" w:rsidP="00E875D9">
            <w:pPr>
              <w:spacing w:after="0" w:line="240" w:lineRule="auto"/>
              <w:rPr>
                <w:rFonts w:eastAsia="Times New Roman" w:cs="Calibri"/>
                <w:color w:val="000000"/>
                <w:lang w:eastAsia="es-MX"/>
              </w:rPr>
            </w:pPr>
          </w:p>
        </w:tc>
      </w:tr>
    </w:tbl>
    <w:p w:rsidR="008220C0" w:rsidRPr="00784A74" w:rsidRDefault="008220C0" w:rsidP="006A07F5">
      <w:pPr>
        <w:spacing w:after="0" w:line="240" w:lineRule="auto"/>
        <w:jc w:val="both"/>
        <w:rPr>
          <w:rFonts w:cs="Arial-BoldMT"/>
          <w:b/>
          <w:bCs/>
        </w:rPr>
      </w:pPr>
    </w:p>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E875D9" w:rsidRPr="00E875D9" w:rsidRDefault="005C1FA5" w:rsidP="00E875D9">
      <w:pPr>
        <w:spacing w:after="0" w:line="240" w:lineRule="auto"/>
        <w:jc w:val="both"/>
        <w:rPr>
          <w:rFonts w:cs="Arial-BoldMT"/>
          <w:bCs/>
        </w:rPr>
      </w:pPr>
      <w:r>
        <w:rPr>
          <w:rFonts w:cs="Arial-BoldMT"/>
          <w:bCs/>
        </w:rPr>
        <w:lastRenderedPageBreak/>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3A4B41">
        <w:rPr>
          <w:rFonts w:cs="Arial-BoldMT"/>
          <w:bCs/>
        </w:rPr>
        <w:t>Escobedo</w:t>
      </w:r>
      <w:r w:rsidR="00C00719">
        <w:rPr>
          <w:rFonts w:cs="Arial-BoldMT"/>
          <w:bCs/>
        </w:rPr>
        <w:t>.</w:t>
      </w:r>
    </w:p>
    <w:p w:rsidR="00E875D9" w:rsidRDefault="00E875D9" w:rsidP="00013225">
      <w:pPr>
        <w:spacing w:after="0" w:line="240" w:lineRule="auto"/>
        <w:rPr>
          <w:rFonts w:cs="Arial-BoldMT"/>
          <w:b/>
          <w:bCs/>
          <w:sz w:val="24"/>
        </w:rPr>
      </w:pPr>
    </w:p>
    <w:p w:rsidR="008E1B5E" w:rsidRDefault="008E1B5E" w:rsidP="00013225">
      <w:pPr>
        <w:spacing w:after="0" w:line="240" w:lineRule="auto"/>
        <w:rPr>
          <w:rFonts w:cs="Arial-BoldMT"/>
          <w:b/>
          <w:bCs/>
          <w:sz w:val="24"/>
        </w:rPr>
      </w:pPr>
    </w:p>
    <w:p w:rsidR="00127D12" w:rsidRDefault="00127D12" w:rsidP="00013225">
      <w:pPr>
        <w:spacing w:after="0" w:line="240" w:lineRule="auto"/>
        <w:rPr>
          <w:rFonts w:cs="Arial-BoldMT"/>
          <w:b/>
          <w:bCs/>
          <w:sz w:val="24"/>
        </w:rPr>
      </w:pPr>
    </w:p>
    <w:p w:rsidR="00127D12" w:rsidRDefault="00127D12" w:rsidP="00013225">
      <w:pPr>
        <w:spacing w:after="0" w:line="240" w:lineRule="auto"/>
        <w:rPr>
          <w:rFonts w:cs="Arial-BoldMT"/>
          <w:b/>
          <w:bCs/>
          <w:sz w:val="24"/>
        </w:rPr>
      </w:pPr>
    </w:p>
    <w:p w:rsidR="00127D12" w:rsidRDefault="00127D12" w:rsidP="00013225">
      <w:pPr>
        <w:spacing w:after="0" w:line="240" w:lineRule="auto"/>
        <w:rPr>
          <w:rFonts w:cs="Arial-BoldMT"/>
          <w:b/>
          <w:bCs/>
          <w:sz w:val="24"/>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D35EC4" w:rsidRPr="00DA3B68" w:rsidRDefault="00CE6AF7" w:rsidP="00DB591A">
      <w:pPr>
        <w:spacing w:after="0" w:line="240" w:lineRule="auto"/>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486BA7">
        <w:rPr>
          <w:rFonts w:cs="Arial-BoldMT"/>
          <w:bCs/>
          <w:sz w:val="24"/>
        </w:rPr>
        <w:t xml:space="preserve">a Presidencia Municipal de </w:t>
      </w:r>
      <w:r w:rsidR="003A4B41">
        <w:rPr>
          <w:rFonts w:cs="Arial-BoldMT"/>
          <w:bCs/>
          <w:sz w:val="24"/>
        </w:rPr>
        <w:t>Escobedo</w:t>
      </w:r>
      <w:r w:rsidRPr="00DA3B68">
        <w:rPr>
          <w:rFonts w:cs="Arial-BoldMT"/>
          <w:bCs/>
          <w:sz w:val="24"/>
        </w:rPr>
        <w:t>”</w:t>
      </w:r>
    </w:p>
    <w:p w:rsidR="00980688" w:rsidRPr="00784A74" w:rsidRDefault="00980688"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375066" w:rsidRDefault="00375066"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E875D9" w:rsidRDefault="00E875D9"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AF1D27" w:rsidP="006A07F5">
      <w:pPr>
        <w:spacing w:after="0" w:line="240" w:lineRule="auto"/>
        <w:jc w:val="both"/>
      </w:pPr>
      <w:r>
        <w:t>____</w:t>
      </w:r>
      <w:r w:rsidR="00F31EE6">
        <w:t>_</w:t>
      </w:r>
      <w:r w:rsidR="00E3559C">
        <w:t>________________________</w:t>
      </w:r>
      <w:r w:rsidR="00F31EE6">
        <w:t>_____          _</w:t>
      </w:r>
      <w:r w:rsidR="00FC3DEF">
        <w:t>__________</w:t>
      </w:r>
      <w:r w:rsidR="00F31EE6">
        <w:t>____</w:t>
      </w:r>
      <w:r w:rsidR="00E3559C">
        <w:t>___</w:t>
      </w:r>
      <w:r w:rsidR="00F31EE6">
        <w:t>_______________________</w:t>
      </w:r>
    </w:p>
    <w:p w:rsidR="00FB4FB6" w:rsidRPr="00E3559C" w:rsidRDefault="00C00719" w:rsidP="006A07F5">
      <w:pPr>
        <w:spacing w:after="0" w:line="240" w:lineRule="auto"/>
        <w:jc w:val="both"/>
      </w:pPr>
      <w:r>
        <w:rPr>
          <w:b/>
        </w:rPr>
        <w:t xml:space="preserve"> </w:t>
      </w:r>
      <w:r w:rsidR="00FC3DEF">
        <w:rPr>
          <w:b/>
        </w:rPr>
        <w:t xml:space="preserve">              C. JOSÉ MARTINEZ ARRIAGA</w:t>
      </w:r>
      <w:r w:rsidR="00AF1D27">
        <w:rPr>
          <w:b/>
        </w:rPr>
        <w:t xml:space="preserve">               </w:t>
      </w:r>
      <w:r w:rsidR="00B06A29">
        <w:rPr>
          <w:b/>
        </w:rPr>
        <w:t xml:space="preserve">   </w:t>
      </w:r>
      <w:r w:rsidR="00F31EE6" w:rsidRPr="00E3559C">
        <w:rPr>
          <w:b/>
        </w:rPr>
        <w:t xml:space="preserve">   </w:t>
      </w:r>
      <w:r>
        <w:rPr>
          <w:b/>
        </w:rPr>
        <w:t xml:space="preserve">LIC. </w:t>
      </w:r>
      <w:r w:rsidR="00FC3DEF">
        <w:rPr>
          <w:b/>
        </w:rPr>
        <w:t>BERNARDO CARLOS MONTOYA DE LOS REYES</w:t>
      </w:r>
    </w:p>
    <w:p w:rsidR="00FB4FB6" w:rsidRPr="00FB475E" w:rsidRDefault="00F31EE6" w:rsidP="006A07F5">
      <w:pPr>
        <w:spacing w:after="0" w:line="240" w:lineRule="auto"/>
        <w:jc w:val="both"/>
        <w:rPr>
          <w:b/>
        </w:rPr>
      </w:pPr>
      <w:r w:rsidRPr="00FB475E">
        <w:rPr>
          <w:b/>
        </w:rPr>
        <w:t xml:space="preserve">  </w:t>
      </w:r>
      <w:r w:rsidR="00FB475E" w:rsidRPr="00FB475E">
        <w:rPr>
          <w:b/>
        </w:rPr>
        <w:t xml:space="preserve">                 PRESIDENTE MUNICPAL                                                     TESORERO MUNICIPAL</w:t>
      </w:r>
    </w:p>
    <w:p w:rsidR="00FB475E" w:rsidRPr="00784A74" w:rsidRDefault="00FB475E" w:rsidP="006A07F5">
      <w:pPr>
        <w:spacing w:after="0" w:line="240" w:lineRule="auto"/>
        <w:jc w:val="both"/>
      </w:pPr>
      <w:bookmarkStart w:id="3" w:name="_GoBack"/>
      <w:bookmarkEnd w:id="3"/>
    </w:p>
    <w:sectPr w:rsidR="00FB475E" w:rsidRPr="00784A74" w:rsidSect="00EB43A1">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AE0" w:rsidRDefault="00441AE0" w:rsidP="00703BF4">
      <w:pPr>
        <w:spacing w:after="0" w:line="240" w:lineRule="auto"/>
      </w:pPr>
      <w:r>
        <w:separator/>
      </w:r>
    </w:p>
  </w:endnote>
  <w:endnote w:type="continuationSeparator" w:id="0">
    <w:p w:rsidR="00441AE0" w:rsidRDefault="00441AE0"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68" w:rsidRDefault="00F14768">
    <w:pPr>
      <w:pStyle w:val="Piedepgina"/>
      <w:jc w:val="right"/>
    </w:pPr>
    <w:r w:rsidRPr="005C5501">
      <w:rPr>
        <w:sz w:val="20"/>
      </w:rPr>
      <w:t xml:space="preserve">Página </w:t>
    </w:r>
    <w:r w:rsidRPr="005C5501">
      <w:rPr>
        <w:szCs w:val="24"/>
      </w:rPr>
      <w:fldChar w:fldCharType="begin"/>
    </w:r>
    <w:r w:rsidRPr="005C5501">
      <w:rPr>
        <w:sz w:val="20"/>
      </w:rPr>
      <w:instrText>PAGE</w:instrText>
    </w:r>
    <w:r w:rsidRPr="005C5501">
      <w:rPr>
        <w:szCs w:val="24"/>
      </w:rPr>
      <w:fldChar w:fldCharType="separate"/>
    </w:r>
    <w:r w:rsidR="00127D12">
      <w:rPr>
        <w:noProof/>
        <w:sz w:val="20"/>
      </w:rPr>
      <w:t>14</w:t>
    </w:r>
    <w:r w:rsidRPr="005C5501">
      <w:rPr>
        <w:szCs w:val="24"/>
      </w:rPr>
      <w:fldChar w:fldCharType="end"/>
    </w:r>
    <w:r w:rsidRPr="005C5501">
      <w:rPr>
        <w:sz w:val="20"/>
      </w:rPr>
      <w:t xml:space="preserve"> de </w:t>
    </w:r>
    <w:r w:rsidRPr="005C5501">
      <w:rPr>
        <w:szCs w:val="24"/>
      </w:rPr>
      <w:fldChar w:fldCharType="begin"/>
    </w:r>
    <w:r w:rsidRPr="005C5501">
      <w:rPr>
        <w:sz w:val="20"/>
      </w:rPr>
      <w:instrText>NUMPAGES</w:instrText>
    </w:r>
    <w:r w:rsidRPr="005C5501">
      <w:rPr>
        <w:szCs w:val="24"/>
      </w:rPr>
      <w:fldChar w:fldCharType="separate"/>
    </w:r>
    <w:r w:rsidR="00127D12">
      <w:rPr>
        <w:noProof/>
        <w:sz w:val="20"/>
      </w:rPr>
      <w:t>14</w:t>
    </w:r>
    <w:r w:rsidRPr="005C5501">
      <w:rPr>
        <w:szCs w:val="24"/>
      </w:rPr>
      <w:fldChar w:fldCharType="end"/>
    </w:r>
  </w:p>
  <w:p w:rsidR="00F14768" w:rsidRDefault="00F1476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AE0" w:rsidRDefault="00441AE0" w:rsidP="00703BF4">
      <w:pPr>
        <w:spacing w:after="0" w:line="240" w:lineRule="auto"/>
      </w:pPr>
      <w:r>
        <w:separator/>
      </w:r>
    </w:p>
  </w:footnote>
  <w:footnote w:type="continuationSeparator" w:id="0">
    <w:p w:rsidR="00441AE0" w:rsidRDefault="00441AE0" w:rsidP="00703BF4">
      <w:pPr>
        <w:spacing w:after="0" w:line="240" w:lineRule="auto"/>
      </w:pPr>
      <w:r>
        <w:continuationSeparator/>
      </w:r>
    </w:p>
  </w:footnote>
  <w:footnote w:id="1">
    <w:p w:rsidR="00F14768" w:rsidRPr="00D61455" w:rsidRDefault="00F14768" w:rsidP="00EB5EEB">
      <w:pPr>
        <w:pStyle w:val="Textonotapie"/>
        <w:rPr>
          <w:szCs w:val="18"/>
          <w:lang w:val="es-MX"/>
        </w:rPr>
      </w:pPr>
    </w:p>
  </w:footnote>
  <w:footnote w:id="2">
    <w:p w:rsidR="00F14768" w:rsidRPr="00D61455" w:rsidRDefault="00F14768" w:rsidP="00DA78FE">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68" w:rsidRDefault="00F14768" w:rsidP="005A284A">
    <w:pPr>
      <w:tabs>
        <w:tab w:val="center" w:pos="4749"/>
        <w:tab w:val="right" w:pos="9498"/>
      </w:tabs>
      <w:spacing w:after="0" w:line="240" w:lineRule="auto"/>
      <w:rPr>
        <w:b/>
        <w:sz w:val="40"/>
        <w:szCs w:val="40"/>
      </w:rPr>
    </w:pPr>
    <w:r>
      <w:rPr>
        <w:b/>
        <w:noProof/>
        <w:sz w:val="40"/>
        <w:szCs w:val="4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6.25pt;margin-top:-15.75pt;width:46.95pt;height:72.35pt;z-index:-1">
          <v:imagedata r:id="rId1" o:title=""/>
        </v:shape>
      </w:pict>
    </w:r>
    <w:r>
      <w:rPr>
        <w:b/>
        <w:noProof/>
        <w:sz w:val="40"/>
        <w:szCs w:val="40"/>
        <w:lang w:eastAsia="es-MX"/>
      </w:rPr>
      <w:pict>
        <v:shape id="_x0000_s2059" type="#_x0000_t75" style="position:absolute;margin-left:405.55pt;margin-top:-41.85pt;width:121.45pt;height:125.3pt;z-index:-2">
          <v:imagedata r:id="rId2" o:title=""/>
        </v:shape>
      </w:pict>
    </w:r>
    <w:r>
      <w:rPr>
        <w:b/>
        <w:sz w:val="40"/>
        <w:szCs w:val="40"/>
      </w:rPr>
      <w:t xml:space="preserve">                  Municipio de Escobedo, Coahuila</w:t>
    </w:r>
    <w:r>
      <w:rPr>
        <w:b/>
        <w:sz w:val="40"/>
        <w:szCs w:val="40"/>
      </w:rPr>
      <w:tab/>
    </w:r>
  </w:p>
  <w:p w:rsidR="00F14768" w:rsidRPr="00784A74" w:rsidRDefault="00F14768" w:rsidP="005A284A">
    <w:pPr>
      <w:spacing w:after="0" w:line="240" w:lineRule="auto"/>
      <w:rPr>
        <w:b/>
        <w:sz w:val="28"/>
        <w:u w:val="single"/>
      </w:rPr>
    </w:pPr>
    <w:r w:rsidRPr="005A284A">
      <w:rPr>
        <w:b/>
        <w:sz w:val="28"/>
      </w:rPr>
      <w:t xml:space="preserve">                                    </w:t>
    </w:r>
    <w:r w:rsidRPr="00784A74">
      <w:rPr>
        <w:b/>
        <w:sz w:val="28"/>
        <w:u w:val="single"/>
      </w:rPr>
      <w:t>NOTAS A LOS ESTADOS FINANCIEROS</w:t>
    </w:r>
  </w:p>
  <w:p w:rsidR="00F14768" w:rsidRDefault="00F14768" w:rsidP="005A284A">
    <w:pPr>
      <w:spacing w:after="0" w:line="240" w:lineRule="auto"/>
      <w:rPr>
        <w:b/>
        <w:sz w:val="24"/>
      </w:rPr>
    </w:pPr>
    <w:r>
      <w:rPr>
        <w:b/>
        <w:sz w:val="24"/>
      </w:rPr>
      <w:t xml:space="preserve">                                        </w:t>
    </w:r>
    <w:r w:rsidRPr="00784A74">
      <w:rPr>
        <w:b/>
        <w:sz w:val="24"/>
      </w:rPr>
      <w:t>D</w:t>
    </w:r>
    <w:r>
      <w:rPr>
        <w:b/>
        <w:sz w:val="24"/>
      </w:rPr>
      <w:t xml:space="preserve">EL 1 DE ENERO AL 31 DE MARZO </w:t>
    </w:r>
    <w:r w:rsidRPr="00784A74">
      <w:rPr>
        <w:b/>
        <w:sz w:val="24"/>
      </w:rPr>
      <w:t>DE</w:t>
    </w:r>
    <w:r>
      <w:rPr>
        <w:b/>
        <w:sz w:val="24"/>
      </w:rPr>
      <w:t xml:space="preserve"> 2017</w:t>
    </w:r>
  </w:p>
  <w:p w:rsidR="00F14768" w:rsidRPr="00E3559C" w:rsidRDefault="00F14768" w:rsidP="00E3559C">
    <w:pPr>
      <w:spacing w:after="0" w:line="240" w:lineRule="auto"/>
      <w:jc w:val="center"/>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35C"/>
    <w:rsid w:val="000025E1"/>
    <w:rsid w:val="00011D7D"/>
    <w:rsid w:val="000126D6"/>
    <w:rsid w:val="00013225"/>
    <w:rsid w:val="00025CE5"/>
    <w:rsid w:val="0003082C"/>
    <w:rsid w:val="00032580"/>
    <w:rsid w:val="00042B29"/>
    <w:rsid w:val="00047A0D"/>
    <w:rsid w:val="0005005F"/>
    <w:rsid w:val="00052FDD"/>
    <w:rsid w:val="0006757D"/>
    <w:rsid w:val="00071513"/>
    <w:rsid w:val="00081C03"/>
    <w:rsid w:val="00085C44"/>
    <w:rsid w:val="0008762B"/>
    <w:rsid w:val="00090C84"/>
    <w:rsid w:val="00095082"/>
    <w:rsid w:val="000A4220"/>
    <w:rsid w:val="000B440B"/>
    <w:rsid w:val="000B5C69"/>
    <w:rsid w:val="000C077A"/>
    <w:rsid w:val="000C23DD"/>
    <w:rsid w:val="000C60B1"/>
    <w:rsid w:val="000D7D5E"/>
    <w:rsid w:val="000E1C66"/>
    <w:rsid w:val="000E2539"/>
    <w:rsid w:val="000E449A"/>
    <w:rsid w:val="000E4511"/>
    <w:rsid w:val="0010483C"/>
    <w:rsid w:val="00105EB7"/>
    <w:rsid w:val="0012652C"/>
    <w:rsid w:val="00127D12"/>
    <w:rsid w:val="001301DD"/>
    <w:rsid w:val="00133206"/>
    <w:rsid w:val="00136A7B"/>
    <w:rsid w:val="001463F6"/>
    <w:rsid w:val="00147036"/>
    <w:rsid w:val="00156B6B"/>
    <w:rsid w:val="001623EB"/>
    <w:rsid w:val="00170C0C"/>
    <w:rsid w:val="00176EBB"/>
    <w:rsid w:val="00180EBC"/>
    <w:rsid w:val="00181908"/>
    <w:rsid w:val="00184506"/>
    <w:rsid w:val="001852DF"/>
    <w:rsid w:val="00185B12"/>
    <w:rsid w:val="00192D91"/>
    <w:rsid w:val="001941F1"/>
    <w:rsid w:val="00194F6D"/>
    <w:rsid w:val="0019518A"/>
    <w:rsid w:val="00195E0A"/>
    <w:rsid w:val="001A50C2"/>
    <w:rsid w:val="001B19AA"/>
    <w:rsid w:val="001B2872"/>
    <w:rsid w:val="001B489C"/>
    <w:rsid w:val="001B5976"/>
    <w:rsid w:val="001C18A7"/>
    <w:rsid w:val="001C2A84"/>
    <w:rsid w:val="001C4F19"/>
    <w:rsid w:val="001C6394"/>
    <w:rsid w:val="001D0275"/>
    <w:rsid w:val="001D3536"/>
    <w:rsid w:val="001D4BDA"/>
    <w:rsid w:val="001E03CF"/>
    <w:rsid w:val="001E1A0D"/>
    <w:rsid w:val="001E5906"/>
    <w:rsid w:val="001E7F73"/>
    <w:rsid w:val="001F7D4A"/>
    <w:rsid w:val="0020389C"/>
    <w:rsid w:val="002046F6"/>
    <w:rsid w:val="0020556D"/>
    <w:rsid w:val="00213806"/>
    <w:rsid w:val="00230151"/>
    <w:rsid w:val="002331C0"/>
    <w:rsid w:val="002331E0"/>
    <w:rsid w:val="00233E0C"/>
    <w:rsid w:val="002358A8"/>
    <w:rsid w:val="0024772A"/>
    <w:rsid w:val="0025004E"/>
    <w:rsid w:val="00256E67"/>
    <w:rsid w:val="00260929"/>
    <w:rsid w:val="00264A1B"/>
    <w:rsid w:val="00285288"/>
    <w:rsid w:val="0029195C"/>
    <w:rsid w:val="00295E1E"/>
    <w:rsid w:val="002A0489"/>
    <w:rsid w:val="002A1508"/>
    <w:rsid w:val="002A2E79"/>
    <w:rsid w:val="002A7484"/>
    <w:rsid w:val="002C2278"/>
    <w:rsid w:val="002C469C"/>
    <w:rsid w:val="002D14ED"/>
    <w:rsid w:val="002D484A"/>
    <w:rsid w:val="002E64AE"/>
    <w:rsid w:val="002F0727"/>
    <w:rsid w:val="002F1B2E"/>
    <w:rsid w:val="002F56BB"/>
    <w:rsid w:val="0030132B"/>
    <w:rsid w:val="003050C4"/>
    <w:rsid w:val="00307597"/>
    <w:rsid w:val="003234B0"/>
    <w:rsid w:val="00327181"/>
    <w:rsid w:val="00327329"/>
    <w:rsid w:val="003302CC"/>
    <w:rsid w:val="00335159"/>
    <w:rsid w:val="0033659F"/>
    <w:rsid w:val="003365D0"/>
    <w:rsid w:val="00340D71"/>
    <w:rsid w:val="00343265"/>
    <w:rsid w:val="00346FEF"/>
    <w:rsid w:val="003571BA"/>
    <w:rsid w:val="0036155A"/>
    <w:rsid w:val="003622E4"/>
    <w:rsid w:val="00364AEE"/>
    <w:rsid w:val="00370501"/>
    <w:rsid w:val="00374531"/>
    <w:rsid w:val="00375066"/>
    <w:rsid w:val="0038355D"/>
    <w:rsid w:val="00392A38"/>
    <w:rsid w:val="003A2F1B"/>
    <w:rsid w:val="003A403A"/>
    <w:rsid w:val="003A4B41"/>
    <w:rsid w:val="003A5F0B"/>
    <w:rsid w:val="003A736A"/>
    <w:rsid w:val="003B08E9"/>
    <w:rsid w:val="003B0D02"/>
    <w:rsid w:val="003B3AAD"/>
    <w:rsid w:val="003B5936"/>
    <w:rsid w:val="003B62D2"/>
    <w:rsid w:val="003C30C8"/>
    <w:rsid w:val="003C3CB5"/>
    <w:rsid w:val="003D373A"/>
    <w:rsid w:val="003E4297"/>
    <w:rsid w:val="003E49AC"/>
    <w:rsid w:val="003E6411"/>
    <w:rsid w:val="003F2F2B"/>
    <w:rsid w:val="003F4E03"/>
    <w:rsid w:val="00401856"/>
    <w:rsid w:val="00402161"/>
    <w:rsid w:val="00403E8E"/>
    <w:rsid w:val="004079FB"/>
    <w:rsid w:val="00412229"/>
    <w:rsid w:val="00414099"/>
    <w:rsid w:val="0042126F"/>
    <w:rsid w:val="00426A1A"/>
    <w:rsid w:val="00427F19"/>
    <w:rsid w:val="004349ED"/>
    <w:rsid w:val="00436158"/>
    <w:rsid w:val="004361EE"/>
    <w:rsid w:val="00441AE0"/>
    <w:rsid w:val="00445B57"/>
    <w:rsid w:val="00452165"/>
    <w:rsid w:val="0045544A"/>
    <w:rsid w:val="0045665B"/>
    <w:rsid w:val="004577E1"/>
    <w:rsid w:val="00464674"/>
    <w:rsid w:val="00470C12"/>
    <w:rsid w:val="00480286"/>
    <w:rsid w:val="0048050A"/>
    <w:rsid w:val="00486BA7"/>
    <w:rsid w:val="00490887"/>
    <w:rsid w:val="00490961"/>
    <w:rsid w:val="00492509"/>
    <w:rsid w:val="004A45A6"/>
    <w:rsid w:val="004B1C0E"/>
    <w:rsid w:val="004C5400"/>
    <w:rsid w:val="004D0F21"/>
    <w:rsid w:val="004D73CD"/>
    <w:rsid w:val="004E1A30"/>
    <w:rsid w:val="004E1EFB"/>
    <w:rsid w:val="004E3BDC"/>
    <w:rsid w:val="004E49AA"/>
    <w:rsid w:val="004E5575"/>
    <w:rsid w:val="004E57DE"/>
    <w:rsid w:val="004F318C"/>
    <w:rsid w:val="004F357B"/>
    <w:rsid w:val="004F437D"/>
    <w:rsid w:val="005002FD"/>
    <w:rsid w:val="00500B91"/>
    <w:rsid w:val="005014F0"/>
    <w:rsid w:val="0050735B"/>
    <w:rsid w:val="005120B8"/>
    <w:rsid w:val="00514B14"/>
    <w:rsid w:val="0053656D"/>
    <w:rsid w:val="0054082B"/>
    <w:rsid w:val="005428F9"/>
    <w:rsid w:val="00542A2E"/>
    <w:rsid w:val="00543004"/>
    <w:rsid w:val="00543565"/>
    <w:rsid w:val="00544109"/>
    <w:rsid w:val="00551EB5"/>
    <w:rsid w:val="005544D9"/>
    <w:rsid w:val="00556166"/>
    <w:rsid w:val="00563DA4"/>
    <w:rsid w:val="00566BD8"/>
    <w:rsid w:val="0057479B"/>
    <w:rsid w:val="00574CBC"/>
    <w:rsid w:val="005825BF"/>
    <w:rsid w:val="00582926"/>
    <w:rsid w:val="00587CD9"/>
    <w:rsid w:val="0059268C"/>
    <w:rsid w:val="00592703"/>
    <w:rsid w:val="005A050B"/>
    <w:rsid w:val="005A284A"/>
    <w:rsid w:val="005A3EED"/>
    <w:rsid w:val="005A569E"/>
    <w:rsid w:val="005A59FF"/>
    <w:rsid w:val="005A7F3A"/>
    <w:rsid w:val="005B0C82"/>
    <w:rsid w:val="005B1F37"/>
    <w:rsid w:val="005B4E73"/>
    <w:rsid w:val="005B5E22"/>
    <w:rsid w:val="005C0015"/>
    <w:rsid w:val="005C1FA5"/>
    <w:rsid w:val="005C5501"/>
    <w:rsid w:val="005D4DDF"/>
    <w:rsid w:val="005E4487"/>
    <w:rsid w:val="005E5855"/>
    <w:rsid w:val="005E596B"/>
    <w:rsid w:val="005E6EDF"/>
    <w:rsid w:val="005F17D5"/>
    <w:rsid w:val="005F5740"/>
    <w:rsid w:val="005F69EF"/>
    <w:rsid w:val="0060093F"/>
    <w:rsid w:val="00600AF4"/>
    <w:rsid w:val="00605BFA"/>
    <w:rsid w:val="00611103"/>
    <w:rsid w:val="0062249E"/>
    <w:rsid w:val="006242A8"/>
    <w:rsid w:val="00627238"/>
    <w:rsid w:val="00632165"/>
    <w:rsid w:val="00632836"/>
    <w:rsid w:val="00632C1E"/>
    <w:rsid w:val="006378F9"/>
    <w:rsid w:val="00644BCD"/>
    <w:rsid w:val="006458B3"/>
    <w:rsid w:val="00646AF8"/>
    <w:rsid w:val="00646C87"/>
    <w:rsid w:val="00651D7A"/>
    <w:rsid w:val="00654A9B"/>
    <w:rsid w:val="0066357F"/>
    <w:rsid w:val="00666EF2"/>
    <w:rsid w:val="00671DD8"/>
    <w:rsid w:val="006908F6"/>
    <w:rsid w:val="006A07F5"/>
    <w:rsid w:val="006B237E"/>
    <w:rsid w:val="006C0850"/>
    <w:rsid w:val="006C1539"/>
    <w:rsid w:val="006C2DE1"/>
    <w:rsid w:val="006C5F40"/>
    <w:rsid w:val="006C7F24"/>
    <w:rsid w:val="006D2C56"/>
    <w:rsid w:val="006D4526"/>
    <w:rsid w:val="006D69B3"/>
    <w:rsid w:val="006E2CC5"/>
    <w:rsid w:val="006E7857"/>
    <w:rsid w:val="006F3343"/>
    <w:rsid w:val="006F4520"/>
    <w:rsid w:val="006F56B9"/>
    <w:rsid w:val="007007BF"/>
    <w:rsid w:val="00703BF4"/>
    <w:rsid w:val="007061BF"/>
    <w:rsid w:val="00706C97"/>
    <w:rsid w:val="00707931"/>
    <w:rsid w:val="00715635"/>
    <w:rsid w:val="00715A3E"/>
    <w:rsid w:val="00717367"/>
    <w:rsid w:val="007178AE"/>
    <w:rsid w:val="00720C20"/>
    <w:rsid w:val="00721474"/>
    <w:rsid w:val="007242EC"/>
    <w:rsid w:val="00731560"/>
    <w:rsid w:val="00736557"/>
    <w:rsid w:val="00741BF8"/>
    <w:rsid w:val="0074607D"/>
    <w:rsid w:val="00752791"/>
    <w:rsid w:val="00753362"/>
    <w:rsid w:val="00761120"/>
    <w:rsid w:val="007635FC"/>
    <w:rsid w:val="007664CC"/>
    <w:rsid w:val="0077047A"/>
    <w:rsid w:val="00775367"/>
    <w:rsid w:val="00784A74"/>
    <w:rsid w:val="0079414A"/>
    <w:rsid w:val="00794FDE"/>
    <w:rsid w:val="00795755"/>
    <w:rsid w:val="007B3BA8"/>
    <w:rsid w:val="007B7920"/>
    <w:rsid w:val="007C5050"/>
    <w:rsid w:val="007C649E"/>
    <w:rsid w:val="007C7E8B"/>
    <w:rsid w:val="007D050D"/>
    <w:rsid w:val="007D1A8F"/>
    <w:rsid w:val="007D4438"/>
    <w:rsid w:val="007D4A84"/>
    <w:rsid w:val="007D70E3"/>
    <w:rsid w:val="007E470C"/>
    <w:rsid w:val="007E49E7"/>
    <w:rsid w:val="007E6444"/>
    <w:rsid w:val="007F19CD"/>
    <w:rsid w:val="007F1FCE"/>
    <w:rsid w:val="007F6795"/>
    <w:rsid w:val="007F6AF1"/>
    <w:rsid w:val="00801304"/>
    <w:rsid w:val="008028FE"/>
    <w:rsid w:val="008040ED"/>
    <w:rsid w:val="00810A8E"/>
    <w:rsid w:val="00811834"/>
    <w:rsid w:val="008149F2"/>
    <w:rsid w:val="008220C0"/>
    <w:rsid w:val="008414AD"/>
    <w:rsid w:val="008477C2"/>
    <w:rsid w:val="00847A88"/>
    <w:rsid w:val="0085235C"/>
    <w:rsid w:val="0085566E"/>
    <w:rsid w:val="00855A59"/>
    <w:rsid w:val="00856EA2"/>
    <w:rsid w:val="00857D07"/>
    <w:rsid w:val="008600A1"/>
    <w:rsid w:val="0086048D"/>
    <w:rsid w:val="00861795"/>
    <w:rsid w:val="008668AA"/>
    <w:rsid w:val="00874353"/>
    <w:rsid w:val="00876FE3"/>
    <w:rsid w:val="00883E76"/>
    <w:rsid w:val="00886A81"/>
    <w:rsid w:val="00895597"/>
    <w:rsid w:val="008A2FF3"/>
    <w:rsid w:val="008B04C8"/>
    <w:rsid w:val="008B5FB5"/>
    <w:rsid w:val="008B7D74"/>
    <w:rsid w:val="008C2ECD"/>
    <w:rsid w:val="008C610C"/>
    <w:rsid w:val="008D4C8B"/>
    <w:rsid w:val="008D7AB3"/>
    <w:rsid w:val="008E1B5E"/>
    <w:rsid w:val="008E3ED5"/>
    <w:rsid w:val="008E6C02"/>
    <w:rsid w:val="008F49C2"/>
    <w:rsid w:val="008F599B"/>
    <w:rsid w:val="00900026"/>
    <w:rsid w:val="00901807"/>
    <w:rsid w:val="00903609"/>
    <w:rsid w:val="009123E7"/>
    <w:rsid w:val="00920588"/>
    <w:rsid w:val="0092238A"/>
    <w:rsid w:val="00923429"/>
    <w:rsid w:val="00937EE5"/>
    <w:rsid w:val="00940A5F"/>
    <w:rsid w:val="00944925"/>
    <w:rsid w:val="00946998"/>
    <w:rsid w:val="00950077"/>
    <w:rsid w:val="00952D08"/>
    <w:rsid w:val="009565C3"/>
    <w:rsid w:val="00970771"/>
    <w:rsid w:val="00972A86"/>
    <w:rsid w:val="00973DF2"/>
    <w:rsid w:val="00974F8F"/>
    <w:rsid w:val="00980688"/>
    <w:rsid w:val="00985265"/>
    <w:rsid w:val="00985806"/>
    <w:rsid w:val="00985C75"/>
    <w:rsid w:val="009A031F"/>
    <w:rsid w:val="009B294A"/>
    <w:rsid w:val="009B340F"/>
    <w:rsid w:val="009B39DB"/>
    <w:rsid w:val="009B6A36"/>
    <w:rsid w:val="009C17FF"/>
    <w:rsid w:val="009C1E0F"/>
    <w:rsid w:val="009C73E2"/>
    <w:rsid w:val="009D20AE"/>
    <w:rsid w:val="009D2F1B"/>
    <w:rsid w:val="009D63ED"/>
    <w:rsid w:val="009D7B6E"/>
    <w:rsid w:val="009E28A7"/>
    <w:rsid w:val="009E4BED"/>
    <w:rsid w:val="009F7707"/>
    <w:rsid w:val="00A032CC"/>
    <w:rsid w:val="00A11DD6"/>
    <w:rsid w:val="00A1376D"/>
    <w:rsid w:val="00A1669D"/>
    <w:rsid w:val="00A17D1A"/>
    <w:rsid w:val="00A30782"/>
    <w:rsid w:val="00A32912"/>
    <w:rsid w:val="00A33518"/>
    <w:rsid w:val="00A41B1C"/>
    <w:rsid w:val="00A438C1"/>
    <w:rsid w:val="00A50EFF"/>
    <w:rsid w:val="00A53CFF"/>
    <w:rsid w:val="00A54402"/>
    <w:rsid w:val="00A6074F"/>
    <w:rsid w:val="00A61C9B"/>
    <w:rsid w:val="00A66D9A"/>
    <w:rsid w:val="00A80760"/>
    <w:rsid w:val="00A86168"/>
    <w:rsid w:val="00A9189C"/>
    <w:rsid w:val="00A9496A"/>
    <w:rsid w:val="00A94B69"/>
    <w:rsid w:val="00A97DD3"/>
    <w:rsid w:val="00AA1B71"/>
    <w:rsid w:val="00AA6B7C"/>
    <w:rsid w:val="00AB0F7B"/>
    <w:rsid w:val="00AB15A8"/>
    <w:rsid w:val="00AC0411"/>
    <w:rsid w:val="00AC5C3F"/>
    <w:rsid w:val="00AC5CB9"/>
    <w:rsid w:val="00AC7CE3"/>
    <w:rsid w:val="00AC7ECA"/>
    <w:rsid w:val="00AD26E3"/>
    <w:rsid w:val="00AF1D27"/>
    <w:rsid w:val="00AF20A3"/>
    <w:rsid w:val="00AF6608"/>
    <w:rsid w:val="00B00B15"/>
    <w:rsid w:val="00B06A29"/>
    <w:rsid w:val="00B07476"/>
    <w:rsid w:val="00B21D5E"/>
    <w:rsid w:val="00B239D4"/>
    <w:rsid w:val="00B24812"/>
    <w:rsid w:val="00B2794F"/>
    <w:rsid w:val="00B425A0"/>
    <w:rsid w:val="00B47122"/>
    <w:rsid w:val="00B55D70"/>
    <w:rsid w:val="00B64794"/>
    <w:rsid w:val="00B67FD2"/>
    <w:rsid w:val="00B748F2"/>
    <w:rsid w:val="00B80ED6"/>
    <w:rsid w:val="00B85C54"/>
    <w:rsid w:val="00B9149E"/>
    <w:rsid w:val="00B91E55"/>
    <w:rsid w:val="00B978D1"/>
    <w:rsid w:val="00B97C38"/>
    <w:rsid w:val="00B97F12"/>
    <w:rsid w:val="00BA09EB"/>
    <w:rsid w:val="00BA19B2"/>
    <w:rsid w:val="00BA511A"/>
    <w:rsid w:val="00BA6602"/>
    <w:rsid w:val="00BB4FBE"/>
    <w:rsid w:val="00BB5430"/>
    <w:rsid w:val="00BB5759"/>
    <w:rsid w:val="00BC2585"/>
    <w:rsid w:val="00BC505F"/>
    <w:rsid w:val="00BC643A"/>
    <w:rsid w:val="00BC7FF8"/>
    <w:rsid w:val="00BD05A5"/>
    <w:rsid w:val="00BD5D2D"/>
    <w:rsid w:val="00BD6934"/>
    <w:rsid w:val="00BF015B"/>
    <w:rsid w:val="00C00279"/>
    <w:rsid w:val="00C00719"/>
    <w:rsid w:val="00C04D0E"/>
    <w:rsid w:val="00C10F53"/>
    <w:rsid w:val="00C12B7E"/>
    <w:rsid w:val="00C20757"/>
    <w:rsid w:val="00C3215B"/>
    <w:rsid w:val="00C323B6"/>
    <w:rsid w:val="00C32BFF"/>
    <w:rsid w:val="00C43108"/>
    <w:rsid w:val="00C44D2E"/>
    <w:rsid w:val="00C47ED1"/>
    <w:rsid w:val="00C645E2"/>
    <w:rsid w:val="00C65B2F"/>
    <w:rsid w:val="00C66322"/>
    <w:rsid w:val="00C67451"/>
    <w:rsid w:val="00C71EB0"/>
    <w:rsid w:val="00C74204"/>
    <w:rsid w:val="00C76911"/>
    <w:rsid w:val="00C77E9C"/>
    <w:rsid w:val="00C8167B"/>
    <w:rsid w:val="00C85CEB"/>
    <w:rsid w:val="00C87AC0"/>
    <w:rsid w:val="00C934DF"/>
    <w:rsid w:val="00CB072A"/>
    <w:rsid w:val="00CB4EEA"/>
    <w:rsid w:val="00CC28D1"/>
    <w:rsid w:val="00CC74E8"/>
    <w:rsid w:val="00CE1AC0"/>
    <w:rsid w:val="00CE437B"/>
    <w:rsid w:val="00CE6AF7"/>
    <w:rsid w:val="00CF0B3D"/>
    <w:rsid w:val="00CF0E10"/>
    <w:rsid w:val="00D0194C"/>
    <w:rsid w:val="00D14BCA"/>
    <w:rsid w:val="00D14F23"/>
    <w:rsid w:val="00D1601B"/>
    <w:rsid w:val="00D25F8C"/>
    <w:rsid w:val="00D27FAF"/>
    <w:rsid w:val="00D27FFE"/>
    <w:rsid w:val="00D31294"/>
    <w:rsid w:val="00D34ECF"/>
    <w:rsid w:val="00D35EC4"/>
    <w:rsid w:val="00D40CD9"/>
    <w:rsid w:val="00D42123"/>
    <w:rsid w:val="00D4338D"/>
    <w:rsid w:val="00D4465E"/>
    <w:rsid w:val="00D4481F"/>
    <w:rsid w:val="00D453F9"/>
    <w:rsid w:val="00D46090"/>
    <w:rsid w:val="00D52277"/>
    <w:rsid w:val="00D55235"/>
    <w:rsid w:val="00D61455"/>
    <w:rsid w:val="00D6172B"/>
    <w:rsid w:val="00D66B2B"/>
    <w:rsid w:val="00D76E3A"/>
    <w:rsid w:val="00D81E7C"/>
    <w:rsid w:val="00D9615F"/>
    <w:rsid w:val="00D97A77"/>
    <w:rsid w:val="00DA3243"/>
    <w:rsid w:val="00DA3B68"/>
    <w:rsid w:val="00DA7102"/>
    <w:rsid w:val="00DA77EE"/>
    <w:rsid w:val="00DA78FE"/>
    <w:rsid w:val="00DB12BF"/>
    <w:rsid w:val="00DB591A"/>
    <w:rsid w:val="00DB6F51"/>
    <w:rsid w:val="00DC0A70"/>
    <w:rsid w:val="00DC1A3C"/>
    <w:rsid w:val="00DC28F9"/>
    <w:rsid w:val="00DC5068"/>
    <w:rsid w:val="00DD3425"/>
    <w:rsid w:val="00DD74D1"/>
    <w:rsid w:val="00DE2A58"/>
    <w:rsid w:val="00DF11F4"/>
    <w:rsid w:val="00DF2C4E"/>
    <w:rsid w:val="00DF2DFD"/>
    <w:rsid w:val="00DF3023"/>
    <w:rsid w:val="00DF34A0"/>
    <w:rsid w:val="00DF6B04"/>
    <w:rsid w:val="00DF7424"/>
    <w:rsid w:val="00DF7E1A"/>
    <w:rsid w:val="00E12D42"/>
    <w:rsid w:val="00E13C31"/>
    <w:rsid w:val="00E309E9"/>
    <w:rsid w:val="00E33421"/>
    <w:rsid w:val="00E3559C"/>
    <w:rsid w:val="00E41230"/>
    <w:rsid w:val="00E45892"/>
    <w:rsid w:val="00E52F3C"/>
    <w:rsid w:val="00E81514"/>
    <w:rsid w:val="00E81849"/>
    <w:rsid w:val="00E875D9"/>
    <w:rsid w:val="00E91591"/>
    <w:rsid w:val="00E94FDB"/>
    <w:rsid w:val="00EA2DCD"/>
    <w:rsid w:val="00EA4CE7"/>
    <w:rsid w:val="00EA5FD0"/>
    <w:rsid w:val="00EA7D14"/>
    <w:rsid w:val="00EB057D"/>
    <w:rsid w:val="00EB43A1"/>
    <w:rsid w:val="00EB5EEB"/>
    <w:rsid w:val="00ED02A3"/>
    <w:rsid w:val="00ED086E"/>
    <w:rsid w:val="00ED5143"/>
    <w:rsid w:val="00EE3DDF"/>
    <w:rsid w:val="00EE6365"/>
    <w:rsid w:val="00EF0AAE"/>
    <w:rsid w:val="00EF44D9"/>
    <w:rsid w:val="00F03370"/>
    <w:rsid w:val="00F06D8C"/>
    <w:rsid w:val="00F107A9"/>
    <w:rsid w:val="00F1359D"/>
    <w:rsid w:val="00F14768"/>
    <w:rsid w:val="00F24CEA"/>
    <w:rsid w:val="00F25BA9"/>
    <w:rsid w:val="00F278C8"/>
    <w:rsid w:val="00F3057F"/>
    <w:rsid w:val="00F306F6"/>
    <w:rsid w:val="00F31EE6"/>
    <w:rsid w:val="00F37DA0"/>
    <w:rsid w:val="00F43D90"/>
    <w:rsid w:val="00F47CE1"/>
    <w:rsid w:val="00F62740"/>
    <w:rsid w:val="00F63AA3"/>
    <w:rsid w:val="00F647FA"/>
    <w:rsid w:val="00F72F83"/>
    <w:rsid w:val="00F77951"/>
    <w:rsid w:val="00F806CB"/>
    <w:rsid w:val="00F821E4"/>
    <w:rsid w:val="00F82A77"/>
    <w:rsid w:val="00F82B02"/>
    <w:rsid w:val="00F878E7"/>
    <w:rsid w:val="00F92282"/>
    <w:rsid w:val="00FA0A47"/>
    <w:rsid w:val="00FA4A85"/>
    <w:rsid w:val="00FB247B"/>
    <w:rsid w:val="00FB475E"/>
    <w:rsid w:val="00FB4E35"/>
    <w:rsid w:val="00FB4FB6"/>
    <w:rsid w:val="00FC194E"/>
    <w:rsid w:val="00FC2DE4"/>
    <w:rsid w:val="00FC3434"/>
    <w:rsid w:val="00FC34E2"/>
    <w:rsid w:val="00FC3DEF"/>
    <w:rsid w:val="00FC4865"/>
    <w:rsid w:val="00FC7116"/>
    <w:rsid w:val="00FC73CB"/>
    <w:rsid w:val="00FD0652"/>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lang/>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paragraph" w:customStyle="1" w:styleId="Texto">
    <w:name w:val="Texto"/>
    <w:basedOn w:val="Normal"/>
    <w:link w:val="TextoCar"/>
    <w:rsid w:val="00D61455"/>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D61455"/>
    <w:rPr>
      <w:rFonts w:ascii="Arial" w:eastAsia="Times New Roman" w:hAnsi="Arial" w:cs="Arial"/>
      <w:sz w:val="18"/>
      <w:lang w:val="es-ES" w:eastAsia="es-ES"/>
    </w:rPr>
  </w:style>
  <w:style w:type="paragraph" w:styleId="Textonotapie">
    <w:name w:val="footnote text"/>
    <w:basedOn w:val="Normal"/>
    <w:link w:val="TextonotapieCar"/>
    <w:rsid w:val="00D61455"/>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D61455"/>
    <w:rPr>
      <w:rFonts w:ascii="Verdana" w:eastAsia="Times New Roman" w:hAnsi="Verdana"/>
      <w:lang w:val="es-ES"/>
    </w:rPr>
  </w:style>
  <w:style w:type="character" w:styleId="Refdenotaalpie">
    <w:name w:val="footnote reference"/>
    <w:rsid w:val="00D61455"/>
    <w:rPr>
      <w:vertAlign w:val="superscript"/>
    </w:rPr>
  </w:style>
</w:styles>
</file>

<file path=word/webSettings.xml><?xml version="1.0" encoding="utf-8"?>
<w:webSettings xmlns:r="http://schemas.openxmlformats.org/officeDocument/2006/relationships" xmlns:w="http://schemas.openxmlformats.org/wordprocessingml/2006/main">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21514730">
      <w:bodyDiv w:val="1"/>
      <w:marLeft w:val="0"/>
      <w:marRight w:val="0"/>
      <w:marTop w:val="0"/>
      <w:marBottom w:val="0"/>
      <w:divBdr>
        <w:top w:val="none" w:sz="0" w:space="0" w:color="auto"/>
        <w:left w:val="none" w:sz="0" w:space="0" w:color="auto"/>
        <w:bottom w:val="none" w:sz="0" w:space="0" w:color="auto"/>
        <w:right w:val="none" w:sz="0" w:space="0" w:color="auto"/>
      </w:divBdr>
    </w:div>
    <w:div w:id="32116192">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58943234">
      <w:bodyDiv w:val="1"/>
      <w:marLeft w:val="0"/>
      <w:marRight w:val="0"/>
      <w:marTop w:val="0"/>
      <w:marBottom w:val="0"/>
      <w:divBdr>
        <w:top w:val="none" w:sz="0" w:space="0" w:color="auto"/>
        <w:left w:val="none" w:sz="0" w:space="0" w:color="auto"/>
        <w:bottom w:val="none" w:sz="0" w:space="0" w:color="auto"/>
        <w:right w:val="none" w:sz="0" w:space="0" w:color="auto"/>
      </w:divBdr>
    </w:div>
    <w:div w:id="82461701">
      <w:bodyDiv w:val="1"/>
      <w:marLeft w:val="0"/>
      <w:marRight w:val="0"/>
      <w:marTop w:val="0"/>
      <w:marBottom w:val="0"/>
      <w:divBdr>
        <w:top w:val="none" w:sz="0" w:space="0" w:color="auto"/>
        <w:left w:val="none" w:sz="0" w:space="0" w:color="auto"/>
        <w:bottom w:val="none" w:sz="0" w:space="0" w:color="auto"/>
        <w:right w:val="none" w:sz="0" w:space="0" w:color="auto"/>
      </w:divBdr>
    </w:div>
    <w:div w:id="84769986">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97676796">
      <w:bodyDiv w:val="1"/>
      <w:marLeft w:val="0"/>
      <w:marRight w:val="0"/>
      <w:marTop w:val="0"/>
      <w:marBottom w:val="0"/>
      <w:divBdr>
        <w:top w:val="none" w:sz="0" w:space="0" w:color="auto"/>
        <w:left w:val="none" w:sz="0" w:space="0" w:color="auto"/>
        <w:bottom w:val="none" w:sz="0" w:space="0" w:color="auto"/>
        <w:right w:val="none" w:sz="0" w:space="0" w:color="auto"/>
      </w:divBdr>
    </w:div>
    <w:div w:id="110395249">
      <w:bodyDiv w:val="1"/>
      <w:marLeft w:val="0"/>
      <w:marRight w:val="0"/>
      <w:marTop w:val="0"/>
      <w:marBottom w:val="0"/>
      <w:divBdr>
        <w:top w:val="none" w:sz="0" w:space="0" w:color="auto"/>
        <w:left w:val="none" w:sz="0" w:space="0" w:color="auto"/>
        <w:bottom w:val="none" w:sz="0" w:space="0" w:color="auto"/>
        <w:right w:val="none" w:sz="0" w:space="0" w:color="auto"/>
      </w:divBdr>
    </w:div>
    <w:div w:id="113133021">
      <w:bodyDiv w:val="1"/>
      <w:marLeft w:val="0"/>
      <w:marRight w:val="0"/>
      <w:marTop w:val="0"/>
      <w:marBottom w:val="0"/>
      <w:divBdr>
        <w:top w:val="none" w:sz="0" w:space="0" w:color="auto"/>
        <w:left w:val="none" w:sz="0" w:space="0" w:color="auto"/>
        <w:bottom w:val="none" w:sz="0" w:space="0" w:color="auto"/>
        <w:right w:val="none" w:sz="0" w:space="0" w:color="auto"/>
      </w:divBdr>
    </w:div>
    <w:div w:id="115609365">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81087275">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3247651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42957522">
      <w:bodyDiv w:val="1"/>
      <w:marLeft w:val="0"/>
      <w:marRight w:val="0"/>
      <w:marTop w:val="0"/>
      <w:marBottom w:val="0"/>
      <w:divBdr>
        <w:top w:val="none" w:sz="0" w:space="0" w:color="auto"/>
        <w:left w:val="none" w:sz="0" w:space="0" w:color="auto"/>
        <w:bottom w:val="none" w:sz="0" w:space="0" w:color="auto"/>
        <w:right w:val="none" w:sz="0" w:space="0" w:color="auto"/>
      </w:divBdr>
    </w:div>
    <w:div w:id="243497246">
      <w:bodyDiv w:val="1"/>
      <w:marLeft w:val="0"/>
      <w:marRight w:val="0"/>
      <w:marTop w:val="0"/>
      <w:marBottom w:val="0"/>
      <w:divBdr>
        <w:top w:val="none" w:sz="0" w:space="0" w:color="auto"/>
        <w:left w:val="none" w:sz="0" w:space="0" w:color="auto"/>
        <w:bottom w:val="none" w:sz="0" w:space="0" w:color="auto"/>
        <w:right w:val="none" w:sz="0" w:space="0" w:color="auto"/>
      </w:divBdr>
    </w:div>
    <w:div w:id="268701304">
      <w:bodyDiv w:val="1"/>
      <w:marLeft w:val="0"/>
      <w:marRight w:val="0"/>
      <w:marTop w:val="0"/>
      <w:marBottom w:val="0"/>
      <w:divBdr>
        <w:top w:val="none" w:sz="0" w:space="0" w:color="auto"/>
        <w:left w:val="none" w:sz="0" w:space="0" w:color="auto"/>
        <w:bottom w:val="none" w:sz="0" w:space="0" w:color="auto"/>
        <w:right w:val="none" w:sz="0" w:space="0" w:color="auto"/>
      </w:divBdr>
    </w:div>
    <w:div w:id="290063653">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294218221">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6766370">
      <w:bodyDiv w:val="1"/>
      <w:marLeft w:val="0"/>
      <w:marRight w:val="0"/>
      <w:marTop w:val="0"/>
      <w:marBottom w:val="0"/>
      <w:divBdr>
        <w:top w:val="none" w:sz="0" w:space="0" w:color="auto"/>
        <w:left w:val="none" w:sz="0" w:space="0" w:color="auto"/>
        <w:bottom w:val="none" w:sz="0" w:space="0" w:color="auto"/>
        <w:right w:val="none" w:sz="0" w:space="0" w:color="auto"/>
      </w:divBdr>
    </w:div>
    <w:div w:id="340667130">
      <w:bodyDiv w:val="1"/>
      <w:marLeft w:val="0"/>
      <w:marRight w:val="0"/>
      <w:marTop w:val="0"/>
      <w:marBottom w:val="0"/>
      <w:divBdr>
        <w:top w:val="none" w:sz="0" w:space="0" w:color="auto"/>
        <w:left w:val="none" w:sz="0" w:space="0" w:color="auto"/>
        <w:bottom w:val="none" w:sz="0" w:space="0" w:color="auto"/>
        <w:right w:val="none" w:sz="0" w:space="0" w:color="auto"/>
      </w:divBdr>
    </w:div>
    <w:div w:id="347633902">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78550976">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404453256">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4617170">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27821248">
      <w:bodyDiv w:val="1"/>
      <w:marLeft w:val="0"/>
      <w:marRight w:val="0"/>
      <w:marTop w:val="0"/>
      <w:marBottom w:val="0"/>
      <w:divBdr>
        <w:top w:val="none" w:sz="0" w:space="0" w:color="auto"/>
        <w:left w:val="none" w:sz="0" w:space="0" w:color="auto"/>
        <w:bottom w:val="none" w:sz="0" w:space="0" w:color="auto"/>
        <w:right w:val="none" w:sz="0" w:space="0" w:color="auto"/>
      </w:divBdr>
    </w:div>
    <w:div w:id="440993949">
      <w:bodyDiv w:val="1"/>
      <w:marLeft w:val="0"/>
      <w:marRight w:val="0"/>
      <w:marTop w:val="0"/>
      <w:marBottom w:val="0"/>
      <w:divBdr>
        <w:top w:val="none" w:sz="0" w:space="0" w:color="auto"/>
        <w:left w:val="none" w:sz="0" w:space="0" w:color="auto"/>
        <w:bottom w:val="none" w:sz="0" w:space="0" w:color="auto"/>
        <w:right w:val="none" w:sz="0" w:space="0" w:color="auto"/>
      </w:divBdr>
    </w:div>
    <w:div w:id="446974391">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185139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6094867">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375956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56817623">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334873">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94293069">
      <w:bodyDiv w:val="1"/>
      <w:marLeft w:val="0"/>
      <w:marRight w:val="0"/>
      <w:marTop w:val="0"/>
      <w:marBottom w:val="0"/>
      <w:divBdr>
        <w:top w:val="none" w:sz="0" w:space="0" w:color="auto"/>
        <w:left w:val="none" w:sz="0" w:space="0" w:color="auto"/>
        <w:bottom w:val="none" w:sz="0" w:space="0" w:color="auto"/>
        <w:right w:val="none" w:sz="0" w:space="0" w:color="auto"/>
      </w:divBdr>
    </w:div>
    <w:div w:id="596864634">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9113499">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9818170">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77023682">
      <w:bodyDiv w:val="1"/>
      <w:marLeft w:val="0"/>
      <w:marRight w:val="0"/>
      <w:marTop w:val="0"/>
      <w:marBottom w:val="0"/>
      <w:divBdr>
        <w:top w:val="none" w:sz="0" w:space="0" w:color="auto"/>
        <w:left w:val="none" w:sz="0" w:space="0" w:color="auto"/>
        <w:bottom w:val="none" w:sz="0" w:space="0" w:color="auto"/>
        <w:right w:val="none" w:sz="0" w:space="0" w:color="auto"/>
      </w:divBdr>
    </w:div>
    <w:div w:id="798915853">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69225477">
      <w:bodyDiv w:val="1"/>
      <w:marLeft w:val="0"/>
      <w:marRight w:val="0"/>
      <w:marTop w:val="0"/>
      <w:marBottom w:val="0"/>
      <w:divBdr>
        <w:top w:val="none" w:sz="0" w:space="0" w:color="auto"/>
        <w:left w:val="none" w:sz="0" w:space="0" w:color="auto"/>
        <w:bottom w:val="none" w:sz="0" w:space="0" w:color="auto"/>
        <w:right w:val="none" w:sz="0" w:space="0" w:color="auto"/>
      </w:divBdr>
    </w:div>
    <w:div w:id="882405716">
      <w:bodyDiv w:val="1"/>
      <w:marLeft w:val="0"/>
      <w:marRight w:val="0"/>
      <w:marTop w:val="0"/>
      <w:marBottom w:val="0"/>
      <w:divBdr>
        <w:top w:val="none" w:sz="0" w:space="0" w:color="auto"/>
        <w:left w:val="none" w:sz="0" w:space="0" w:color="auto"/>
        <w:bottom w:val="none" w:sz="0" w:space="0" w:color="auto"/>
        <w:right w:val="none" w:sz="0" w:space="0" w:color="auto"/>
      </w:divBdr>
    </w:div>
    <w:div w:id="891885027">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6671694">
      <w:bodyDiv w:val="1"/>
      <w:marLeft w:val="0"/>
      <w:marRight w:val="0"/>
      <w:marTop w:val="0"/>
      <w:marBottom w:val="0"/>
      <w:divBdr>
        <w:top w:val="none" w:sz="0" w:space="0" w:color="auto"/>
        <w:left w:val="none" w:sz="0" w:space="0" w:color="auto"/>
        <w:bottom w:val="none" w:sz="0" w:space="0" w:color="auto"/>
        <w:right w:val="none" w:sz="0" w:space="0" w:color="auto"/>
      </w:divBdr>
    </w:div>
    <w:div w:id="947932141">
      <w:bodyDiv w:val="1"/>
      <w:marLeft w:val="0"/>
      <w:marRight w:val="0"/>
      <w:marTop w:val="0"/>
      <w:marBottom w:val="0"/>
      <w:divBdr>
        <w:top w:val="none" w:sz="0" w:space="0" w:color="auto"/>
        <w:left w:val="none" w:sz="0" w:space="0" w:color="auto"/>
        <w:bottom w:val="none" w:sz="0" w:space="0" w:color="auto"/>
        <w:right w:val="none" w:sz="0" w:space="0" w:color="auto"/>
      </w:divBdr>
    </w:div>
    <w:div w:id="950473712">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90521590">
      <w:bodyDiv w:val="1"/>
      <w:marLeft w:val="0"/>
      <w:marRight w:val="0"/>
      <w:marTop w:val="0"/>
      <w:marBottom w:val="0"/>
      <w:divBdr>
        <w:top w:val="none" w:sz="0" w:space="0" w:color="auto"/>
        <w:left w:val="none" w:sz="0" w:space="0" w:color="auto"/>
        <w:bottom w:val="none" w:sz="0" w:space="0" w:color="auto"/>
        <w:right w:val="none" w:sz="0" w:space="0" w:color="auto"/>
      </w:divBdr>
    </w:div>
    <w:div w:id="1003049415">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3573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01339524">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3156162">
      <w:bodyDiv w:val="1"/>
      <w:marLeft w:val="0"/>
      <w:marRight w:val="0"/>
      <w:marTop w:val="0"/>
      <w:marBottom w:val="0"/>
      <w:divBdr>
        <w:top w:val="none" w:sz="0" w:space="0" w:color="auto"/>
        <w:left w:val="none" w:sz="0" w:space="0" w:color="auto"/>
        <w:bottom w:val="none" w:sz="0" w:space="0" w:color="auto"/>
        <w:right w:val="none" w:sz="0" w:space="0" w:color="auto"/>
      </w:divBdr>
    </w:div>
    <w:div w:id="119492321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3327486">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477852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83338320">
      <w:bodyDiv w:val="1"/>
      <w:marLeft w:val="0"/>
      <w:marRight w:val="0"/>
      <w:marTop w:val="0"/>
      <w:marBottom w:val="0"/>
      <w:divBdr>
        <w:top w:val="none" w:sz="0" w:space="0" w:color="auto"/>
        <w:left w:val="none" w:sz="0" w:space="0" w:color="auto"/>
        <w:bottom w:val="none" w:sz="0" w:space="0" w:color="auto"/>
        <w:right w:val="none" w:sz="0" w:space="0" w:color="auto"/>
      </w:divBdr>
    </w:div>
    <w:div w:id="1290436525">
      <w:bodyDiv w:val="1"/>
      <w:marLeft w:val="0"/>
      <w:marRight w:val="0"/>
      <w:marTop w:val="0"/>
      <w:marBottom w:val="0"/>
      <w:divBdr>
        <w:top w:val="none" w:sz="0" w:space="0" w:color="auto"/>
        <w:left w:val="none" w:sz="0" w:space="0" w:color="auto"/>
        <w:bottom w:val="none" w:sz="0" w:space="0" w:color="auto"/>
        <w:right w:val="none" w:sz="0" w:space="0" w:color="auto"/>
      </w:divBdr>
    </w:div>
    <w:div w:id="1294285299">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27513861">
      <w:bodyDiv w:val="1"/>
      <w:marLeft w:val="0"/>
      <w:marRight w:val="0"/>
      <w:marTop w:val="0"/>
      <w:marBottom w:val="0"/>
      <w:divBdr>
        <w:top w:val="none" w:sz="0" w:space="0" w:color="auto"/>
        <w:left w:val="none" w:sz="0" w:space="0" w:color="auto"/>
        <w:bottom w:val="none" w:sz="0" w:space="0" w:color="auto"/>
        <w:right w:val="none" w:sz="0" w:space="0" w:color="auto"/>
      </w:divBdr>
    </w:div>
    <w:div w:id="1337224213">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39772934">
      <w:bodyDiv w:val="1"/>
      <w:marLeft w:val="0"/>
      <w:marRight w:val="0"/>
      <w:marTop w:val="0"/>
      <w:marBottom w:val="0"/>
      <w:divBdr>
        <w:top w:val="none" w:sz="0" w:space="0" w:color="auto"/>
        <w:left w:val="none" w:sz="0" w:space="0" w:color="auto"/>
        <w:bottom w:val="none" w:sz="0" w:space="0" w:color="auto"/>
        <w:right w:val="none" w:sz="0" w:space="0" w:color="auto"/>
      </w:divBdr>
    </w:div>
    <w:div w:id="1348214986">
      <w:bodyDiv w:val="1"/>
      <w:marLeft w:val="0"/>
      <w:marRight w:val="0"/>
      <w:marTop w:val="0"/>
      <w:marBottom w:val="0"/>
      <w:divBdr>
        <w:top w:val="none" w:sz="0" w:space="0" w:color="auto"/>
        <w:left w:val="none" w:sz="0" w:space="0" w:color="auto"/>
        <w:bottom w:val="none" w:sz="0" w:space="0" w:color="auto"/>
        <w:right w:val="none" w:sz="0" w:space="0" w:color="auto"/>
      </w:divBdr>
    </w:div>
    <w:div w:id="1364793753">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574493">
      <w:bodyDiv w:val="1"/>
      <w:marLeft w:val="0"/>
      <w:marRight w:val="0"/>
      <w:marTop w:val="0"/>
      <w:marBottom w:val="0"/>
      <w:divBdr>
        <w:top w:val="none" w:sz="0" w:space="0" w:color="auto"/>
        <w:left w:val="none" w:sz="0" w:space="0" w:color="auto"/>
        <w:bottom w:val="none" w:sz="0" w:space="0" w:color="auto"/>
        <w:right w:val="none" w:sz="0" w:space="0" w:color="auto"/>
      </w:divBdr>
    </w:div>
    <w:div w:id="1397556129">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337500">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5282579">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30613583">
      <w:bodyDiv w:val="1"/>
      <w:marLeft w:val="0"/>
      <w:marRight w:val="0"/>
      <w:marTop w:val="0"/>
      <w:marBottom w:val="0"/>
      <w:divBdr>
        <w:top w:val="none" w:sz="0" w:space="0" w:color="auto"/>
        <w:left w:val="none" w:sz="0" w:space="0" w:color="auto"/>
        <w:bottom w:val="none" w:sz="0" w:space="0" w:color="auto"/>
        <w:right w:val="none" w:sz="0" w:space="0" w:color="auto"/>
      </w:divBdr>
    </w:div>
    <w:div w:id="1451784349">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2291529">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11023088">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40388688">
      <w:bodyDiv w:val="1"/>
      <w:marLeft w:val="0"/>
      <w:marRight w:val="0"/>
      <w:marTop w:val="0"/>
      <w:marBottom w:val="0"/>
      <w:divBdr>
        <w:top w:val="none" w:sz="0" w:space="0" w:color="auto"/>
        <w:left w:val="none" w:sz="0" w:space="0" w:color="auto"/>
        <w:bottom w:val="none" w:sz="0" w:space="0" w:color="auto"/>
        <w:right w:val="none" w:sz="0" w:space="0" w:color="auto"/>
      </w:divBdr>
    </w:div>
    <w:div w:id="1559515332">
      <w:bodyDiv w:val="1"/>
      <w:marLeft w:val="0"/>
      <w:marRight w:val="0"/>
      <w:marTop w:val="0"/>
      <w:marBottom w:val="0"/>
      <w:divBdr>
        <w:top w:val="none" w:sz="0" w:space="0" w:color="auto"/>
        <w:left w:val="none" w:sz="0" w:space="0" w:color="auto"/>
        <w:bottom w:val="none" w:sz="0" w:space="0" w:color="auto"/>
        <w:right w:val="none" w:sz="0" w:space="0" w:color="auto"/>
      </w:divBdr>
    </w:div>
    <w:div w:id="1579053031">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597978329">
      <w:bodyDiv w:val="1"/>
      <w:marLeft w:val="0"/>
      <w:marRight w:val="0"/>
      <w:marTop w:val="0"/>
      <w:marBottom w:val="0"/>
      <w:divBdr>
        <w:top w:val="none" w:sz="0" w:space="0" w:color="auto"/>
        <w:left w:val="none" w:sz="0" w:space="0" w:color="auto"/>
        <w:bottom w:val="none" w:sz="0" w:space="0" w:color="auto"/>
        <w:right w:val="none" w:sz="0" w:space="0" w:color="auto"/>
      </w:divBdr>
    </w:div>
    <w:div w:id="1617177696">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77926916">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26640006">
      <w:bodyDiv w:val="1"/>
      <w:marLeft w:val="0"/>
      <w:marRight w:val="0"/>
      <w:marTop w:val="0"/>
      <w:marBottom w:val="0"/>
      <w:divBdr>
        <w:top w:val="none" w:sz="0" w:space="0" w:color="auto"/>
        <w:left w:val="none" w:sz="0" w:space="0" w:color="auto"/>
        <w:bottom w:val="none" w:sz="0" w:space="0" w:color="auto"/>
        <w:right w:val="none" w:sz="0" w:space="0" w:color="auto"/>
      </w:divBdr>
    </w:div>
    <w:div w:id="1732848645">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47086069">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4147478">
      <w:bodyDiv w:val="1"/>
      <w:marLeft w:val="0"/>
      <w:marRight w:val="0"/>
      <w:marTop w:val="0"/>
      <w:marBottom w:val="0"/>
      <w:divBdr>
        <w:top w:val="none" w:sz="0" w:space="0" w:color="auto"/>
        <w:left w:val="none" w:sz="0" w:space="0" w:color="auto"/>
        <w:bottom w:val="none" w:sz="0" w:space="0" w:color="auto"/>
        <w:right w:val="none" w:sz="0" w:space="0" w:color="auto"/>
      </w:divBdr>
    </w:div>
    <w:div w:id="1875464508">
      <w:bodyDiv w:val="1"/>
      <w:marLeft w:val="0"/>
      <w:marRight w:val="0"/>
      <w:marTop w:val="0"/>
      <w:marBottom w:val="0"/>
      <w:divBdr>
        <w:top w:val="none" w:sz="0" w:space="0" w:color="auto"/>
        <w:left w:val="none" w:sz="0" w:space="0" w:color="auto"/>
        <w:bottom w:val="none" w:sz="0" w:space="0" w:color="auto"/>
        <w:right w:val="none" w:sz="0" w:space="0" w:color="auto"/>
      </w:divBdr>
    </w:div>
    <w:div w:id="1879588966">
      <w:bodyDiv w:val="1"/>
      <w:marLeft w:val="0"/>
      <w:marRight w:val="0"/>
      <w:marTop w:val="0"/>
      <w:marBottom w:val="0"/>
      <w:divBdr>
        <w:top w:val="none" w:sz="0" w:space="0" w:color="auto"/>
        <w:left w:val="none" w:sz="0" w:space="0" w:color="auto"/>
        <w:bottom w:val="none" w:sz="0" w:space="0" w:color="auto"/>
        <w:right w:val="none" w:sz="0" w:space="0" w:color="auto"/>
      </w:divBdr>
    </w:div>
    <w:div w:id="1894805778">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77564367">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69764187">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75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67743-5EC5-47AA-89C4-13E3E162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3999</Words>
  <Characters>22000</Characters>
  <Application>Microsoft Office Word</Application>
  <DocSecurity>0</DocSecurity>
  <Lines>183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25948</CharactersWithSpaces>
  <SharedDoc>false</SharedDoc>
  <HLinks>
    <vt:vector size="6" baseType="variant">
      <vt:variant>
        <vt:i4>3932277</vt:i4>
      </vt:variant>
      <vt:variant>
        <vt:i4>0</vt:i4>
      </vt:variant>
      <vt:variant>
        <vt:i4>0</vt:i4>
      </vt:variant>
      <vt:variant>
        <vt:i4>5</vt:i4>
      </vt:variant>
      <vt:variant>
        <vt:lpwstr>https://es.wikipedia.org/wiki/1905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RICARDO IZCOATL ADAN LOPEZ VALDEZ</cp:lastModifiedBy>
  <cp:revision>13</cp:revision>
  <cp:lastPrinted>2017-04-20T13:56:00Z</cp:lastPrinted>
  <dcterms:created xsi:type="dcterms:W3CDTF">2016-10-30T19:58:00Z</dcterms:created>
  <dcterms:modified xsi:type="dcterms:W3CDTF">2017-04-20T13:57:00Z</dcterms:modified>
</cp:coreProperties>
</file>