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8E" w:rsidRPr="00814E8E" w:rsidRDefault="00814E8E" w:rsidP="00814E8E">
      <w:pPr>
        <w:spacing w:after="160" w:line="259" w:lineRule="auto"/>
        <w:jc w:val="center"/>
        <w:rPr>
          <w:rFonts w:eastAsiaTheme="minorHAnsi"/>
          <w:b/>
          <w:lang w:eastAsia="en-US"/>
        </w:rPr>
      </w:pPr>
      <w:bookmarkStart w:id="0" w:name="_GoBack"/>
      <w:bookmarkEnd w:id="0"/>
      <w:r w:rsidRPr="00814E8E">
        <w:rPr>
          <w:rFonts w:eastAsiaTheme="minorHAnsi"/>
          <w:b/>
          <w:lang w:eastAsia="en-US"/>
        </w:rPr>
        <w:t>NOTAS DE GESTIÓN ADMINISTRATIVA</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Introducción</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seguridad, el desarrollo económico, el desarrollo social, la infraestructura y servicios, el buen gobierno y el desarrollo rural, son los puntos medulares de la acción del gobierno del Municipio de Saltillo en favor de los saltillenses.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El Municipio de Saltillo tiene como compromiso fundamental la integración de un gobierno eficiente, incluyente, honesto y sensible, a fin de impulsar el desarrollo socioeconómico del municipio generando una visión de futuro para Saltillo.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cs="Arial"/>
          <w:lang w:eastAsia="en-US"/>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Panorama Económico y Financiero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Autorización e Historia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creación del Municipio de Saltillo Coahuila como persona moral data del 01 de Agosto de 1969.</w:t>
      </w:r>
    </w:p>
    <w:p w:rsidR="00814E8E" w:rsidRPr="00814E8E" w:rsidRDefault="00814E8E" w:rsidP="00814E8E">
      <w:pPr>
        <w:spacing w:after="160" w:line="259" w:lineRule="auto"/>
        <w:ind w:left="360"/>
        <w:jc w:val="both"/>
        <w:rPr>
          <w:rFonts w:eastAsiaTheme="minorHAnsi" w:cs="Arial"/>
          <w:color w:val="252525"/>
          <w:shd w:val="clear" w:color="auto" w:fill="FFFFFF"/>
          <w:lang w:eastAsia="en-US"/>
        </w:rPr>
      </w:pPr>
      <w:r w:rsidRPr="00814E8E">
        <w:rPr>
          <w:rFonts w:eastAsiaTheme="minorHAnsi" w:cs="Arial"/>
          <w:color w:val="252525"/>
          <w:shd w:val="clear" w:color="auto" w:fill="FFFFFF"/>
          <w:lang w:eastAsia="en-US"/>
        </w:rPr>
        <w:t>El ayuntamiento está integrado por el Presidente Municipal, un Síndico de Mayoría, un Síndico de Vigilancia y el cabildo conformado por diecisiete regidores.</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Organización y Objeto Social</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Objeto Social</w:t>
      </w:r>
    </w:p>
    <w:p w:rsidR="00814E8E" w:rsidRPr="00814E8E" w:rsidRDefault="00814E8E" w:rsidP="00037650">
      <w:pPr>
        <w:spacing w:after="160" w:line="259" w:lineRule="auto"/>
        <w:ind w:left="360"/>
        <w:jc w:val="both"/>
        <w:rPr>
          <w:rFonts w:eastAsiaTheme="minorHAnsi"/>
          <w:lang w:eastAsia="en-US"/>
        </w:rPr>
      </w:pPr>
      <w:r w:rsidRPr="00814E8E">
        <w:rPr>
          <w:rFonts w:eastAsiaTheme="minorHAnsi"/>
          <w:lang w:eastAsia="en-US"/>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Principal Actividad</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Servicios Municipales.</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lastRenderedPageBreak/>
        <w:t xml:space="preserve">Ejercicio Fiscal </w:t>
      </w:r>
    </w:p>
    <w:p w:rsidR="00814E8E" w:rsidRPr="00814E8E" w:rsidRDefault="00FA70B6" w:rsidP="00814E8E">
      <w:pPr>
        <w:spacing w:after="160" w:line="259" w:lineRule="auto"/>
        <w:ind w:left="360"/>
        <w:jc w:val="both"/>
        <w:rPr>
          <w:rFonts w:eastAsiaTheme="minorHAnsi"/>
          <w:lang w:eastAsia="en-US"/>
        </w:rPr>
      </w:pPr>
      <w:r>
        <w:rPr>
          <w:rFonts w:eastAsiaTheme="minorHAnsi"/>
          <w:lang w:eastAsia="en-US"/>
        </w:rPr>
        <w:t>De Julio a Septiembre</w:t>
      </w:r>
      <w:r w:rsidR="00814E8E" w:rsidRPr="00814E8E">
        <w:rPr>
          <w:rFonts w:eastAsiaTheme="minorHAnsi"/>
          <w:lang w:eastAsia="en-US"/>
        </w:rPr>
        <w:t xml:space="preserve"> 2017. Periodo que se presenta </w:t>
      </w:r>
      <w:r>
        <w:rPr>
          <w:rFonts w:eastAsiaTheme="minorHAnsi"/>
          <w:lang w:eastAsia="en-US"/>
        </w:rPr>
        <w:t>Tercer</w:t>
      </w:r>
      <w:r w:rsidR="00814E8E" w:rsidRPr="00814E8E">
        <w:rPr>
          <w:rFonts w:eastAsiaTheme="minorHAnsi"/>
          <w:lang w:eastAsia="en-US"/>
        </w:rPr>
        <w:t xml:space="preserve"> Trimestre 2017.</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Régimen Jurídico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Persona Moral sin fines de lucro</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Consideraciones Fiscales del ente</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el Impuesto Sobre la Renta (ISR)  cuando haga pagos a terceros que estén obligados a ello. </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Realiza la Retención de ISR por sueldos y salarios, por honorarios, asimilados a salarios y arrendamiento; así como el entero de Impuesto sobre Nómina.</w:t>
      </w: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Estructura Organizacional Básica</w:t>
      </w:r>
    </w:p>
    <w:p w:rsidR="00814E8E" w:rsidRPr="00814E8E" w:rsidRDefault="00814E8E" w:rsidP="00814E8E">
      <w:pPr>
        <w:spacing w:after="160" w:line="259" w:lineRule="auto"/>
        <w:jc w:val="both"/>
        <w:rPr>
          <w:rFonts w:eastAsiaTheme="minorHAnsi"/>
          <w:noProof/>
        </w:rPr>
      </w:pPr>
    </w:p>
    <w:p w:rsidR="00814E8E" w:rsidRPr="00814E8E" w:rsidRDefault="00814E8E" w:rsidP="00814E8E">
      <w:pPr>
        <w:spacing w:after="160" w:line="259" w:lineRule="auto"/>
        <w:ind w:left="720"/>
        <w:contextualSpacing/>
        <w:jc w:val="both"/>
        <w:rPr>
          <w:rFonts w:eastAsiaTheme="minorHAnsi"/>
          <w:noProof/>
        </w:rPr>
      </w:pPr>
    </w:p>
    <w:p w:rsidR="00814E8E" w:rsidRPr="00814E8E" w:rsidRDefault="00814E8E" w:rsidP="00814E8E">
      <w:pPr>
        <w:spacing w:after="160" w:line="259" w:lineRule="auto"/>
        <w:ind w:left="720"/>
        <w:contextualSpacing/>
        <w:jc w:val="both"/>
        <w:rPr>
          <w:rFonts w:eastAsiaTheme="minorHAnsi"/>
          <w:noProof/>
        </w:rPr>
      </w:pPr>
      <w:r w:rsidRPr="00814E8E">
        <w:rPr>
          <w:rFonts w:eastAsiaTheme="minorHAnsi"/>
          <w:noProof/>
        </w:rPr>
        <w:drawing>
          <wp:inline distT="0" distB="0" distL="0" distR="0" wp14:anchorId="43E38727" wp14:editId="0AC4C660">
            <wp:extent cx="5067300" cy="3876759"/>
            <wp:effectExtent l="0" t="0" r="0" b="9525"/>
            <wp:docPr id="1" name="Imagen 1" descr="C:\Users\SCERDA\AppData\Local\Microsoft\Windows\INetCache\IE\1LSAEPXG\1. 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ERDA\AppData\Local\Microsoft\Windows\INetCache\IE\1LSAEPXG\1. Presidenc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7612" cy="3884648"/>
                    </a:xfrm>
                    <a:prstGeom prst="rect">
                      <a:avLst/>
                    </a:prstGeom>
                    <a:noFill/>
                    <a:ln>
                      <a:noFill/>
                    </a:ln>
                  </pic:spPr>
                </pic:pic>
              </a:graphicData>
            </a:graphic>
          </wp:inline>
        </w:drawing>
      </w:r>
    </w:p>
    <w:p w:rsidR="00814E8E" w:rsidRDefault="00814E8E" w:rsidP="00814E8E">
      <w:pPr>
        <w:spacing w:after="160" w:line="259" w:lineRule="auto"/>
        <w:ind w:left="720"/>
        <w:contextualSpacing/>
        <w:jc w:val="both"/>
        <w:rPr>
          <w:rFonts w:eastAsiaTheme="minorHAnsi"/>
          <w:lang w:eastAsia="en-US"/>
        </w:rPr>
      </w:pPr>
    </w:p>
    <w:p w:rsidR="00037650" w:rsidRPr="00814E8E" w:rsidRDefault="00037650"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2"/>
        </w:numPr>
        <w:spacing w:after="160" w:line="259" w:lineRule="auto"/>
        <w:contextualSpacing/>
        <w:jc w:val="both"/>
        <w:rPr>
          <w:rFonts w:eastAsiaTheme="minorHAnsi"/>
          <w:lang w:eastAsia="en-US"/>
        </w:rPr>
      </w:pPr>
      <w:r w:rsidRPr="00814E8E">
        <w:rPr>
          <w:rFonts w:eastAsiaTheme="minorHAnsi"/>
          <w:lang w:eastAsia="en-US"/>
        </w:rPr>
        <w:t xml:space="preserve">Fideicomisos, mandatos y análogos </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Fideicomiso de Seguridad Pública 172189 HBMX</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lastRenderedPageBreak/>
        <w:t>Bases de Preparación de los Estados Financieros</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Si se ha observado la normatividad emitida por el CONAC  y las disposiciones legales aplicables.</w:t>
      </w:r>
    </w:p>
    <w:p w:rsidR="00814E8E" w:rsidRPr="00814E8E" w:rsidRDefault="00814E8E" w:rsidP="00814E8E">
      <w:pPr>
        <w:spacing w:after="160" w:line="259" w:lineRule="auto"/>
        <w:ind w:left="360"/>
        <w:jc w:val="both"/>
        <w:rPr>
          <w:rFonts w:eastAsiaTheme="minorHAnsi"/>
          <w:lang w:eastAsia="en-US"/>
        </w:rPr>
      </w:pPr>
      <w:r w:rsidRPr="00814E8E">
        <w:rPr>
          <w:rFonts w:ascii="Calibri" w:eastAsiaTheme="minorHAnsi" w:hAnsi="Calibri" w:cs="Arial"/>
          <w:lang w:eastAsia="en-US"/>
        </w:rPr>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de Contabilidad Gubernamental armonizados. </w:t>
      </w:r>
      <w:r w:rsidRPr="00814E8E">
        <w:rPr>
          <w:rFonts w:eastAsiaTheme="minorHAnsi"/>
          <w:lang w:eastAsia="en-US"/>
        </w:rPr>
        <w:t>En base a la norma del CONAC y LGCG y la Ley de Fiscalización del Estado de Coahuila.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Normatividad aplicada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Costo Histórico</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Postulados Básicos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Sustancia Económica, Entes Públicos, Existencia Permanente, Revelación Suficiente, Importancia Relativa, Registro e Integración Presupuestaria, Consolidación de la Información Financiera, Devengo Contable, Valuación, Dualidad Económica, Consistencia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Normatividad supletoria</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normatividad supletoria</w:t>
      </w:r>
    </w:p>
    <w:p w:rsidR="00814E8E" w:rsidRPr="00814E8E" w:rsidRDefault="00814E8E" w:rsidP="00814E8E">
      <w:pPr>
        <w:numPr>
          <w:ilvl w:val="0"/>
          <w:numId w:val="3"/>
        </w:numPr>
        <w:spacing w:after="160" w:line="259" w:lineRule="auto"/>
        <w:contextualSpacing/>
        <w:jc w:val="both"/>
        <w:rPr>
          <w:rFonts w:eastAsiaTheme="minorHAnsi"/>
          <w:lang w:eastAsia="en-US"/>
        </w:rPr>
      </w:pPr>
      <w:r w:rsidRPr="00814E8E">
        <w:rPr>
          <w:rFonts w:eastAsiaTheme="minorHAnsi"/>
          <w:lang w:eastAsia="en-US"/>
        </w:rPr>
        <w:t>La base del devengado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 xml:space="preserve"> La base del devengado de acuerdo a la contabilidad gubernamental se presenta desde el 2014.</w:t>
      </w:r>
    </w:p>
    <w:p w:rsidR="00814E8E" w:rsidRPr="00814E8E" w:rsidRDefault="00814E8E"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Políticas de Contabilidad Significativas</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Actualización del Valor del Activo, Pasivo y Patrimonio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método de actualización a la fecha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Operaciones en el extranjero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Método de Valuación de inversión en acciones de compañías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Sistema y método de Valuación de inventarios</w:t>
      </w:r>
    </w:p>
    <w:p w:rsidR="00814E8E" w:rsidRPr="00814E8E" w:rsidRDefault="00814E8E" w:rsidP="00037650">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Beneficios a empleados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Las primas de antigüedad a que tienen derecho los trabajadores al terminar la relación de trabajo, se registran en gastos del ejercicio en que son pagadas.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El Organismo denominado “Dirección de Pensiones y Otros Beneficios Sociales para los Trabajadores al Servicio de Municipio de Saltillo” (Pensiones) se creó para el pago de jubilaciones y pensiones por años de servicio y/o vejez, inhabilitación de trabajo y muerte de los empleados del Municipio. </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Con fecha 13 de diciembre de 2013 el Congreso del Estado de Coahuila de Zaragoza, emitió el decreto número 436 que estipula la reforma de la fracción primera del artículo 6 de la Ley </w:t>
      </w:r>
      <w:r w:rsidRPr="00814E8E">
        <w:rPr>
          <w:rFonts w:ascii="Calibri" w:eastAsiaTheme="minorHAnsi" w:hAnsi="Calibri" w:cs="Arial"/>
          <w:lang w:eastAsia="en-US"/>
        </w:rPr>
        <w:lastRenderedPageBreak/>
        <w:t>Orgánica del Organismo “Dirección de Pensiones y Otros Beneficios Sociales al Servicio de los Trabajadores del Municipio de Saltillo”, dicha modificación establece lo siguiente:</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“ARTICULO 6. El patrimonio del organismo se constituirá de la siguiente manera:”</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 xml:space="preserve">Con la aportación quincenal obligatoria que otorga el Municipio de Saltillo Coahuila, consistente en una cantidad equivalente al veinticuatro por ciento del sueldo nominal que perciba el trabajador.” </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La aportación que se menciona en el citado artículo, iniciara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Derivado de lo anterior, el Municipio sigue la política de pagar las aportaciones al Organismo de Pensiones, con base en la Ley creada para estos efectos.</w:t>
      </w:r>
    </w:p>
    <w:p w:rsidR="00814E8E" w:rsidRPr="00814E8E" w:rsidRDefault="00814E8E" w:rsidP="00814E8E">
      <w:pPr>
        <w:numPr>
          <w:ilvl w:val="0"/>
          <w:numId w:val="4"/>
        </w:numPr>
        <w:spacing w:after="160" w:line="259" w:lineRule="auto"/>
        <w:contextualSpacing/>
        <w:jc w:val="both"/>
        <w:rPr>
          <w:rFonts w:ascii="Calibri" w:eastAsiaTheme="minorHAnsi" w:hAnsi="Calibri" w:cs="Arial"/>
          <w:lang w:eastAsia="en-US"/>
        </w:rPr>
      </w:pPr>
      <w:r w:rsidRPr="00814E8E">
        <w:rPr>
          <w:rFonts w:ascii="Calibri" w:eastAsiaTheme="minorHAnsi" w:hAnsi="Calibri" w:cs="Arial"/>
          <w:lang w:eastAsia="en-US"/>
        </w:rPr>
        <w:t>Provisiones</w:t>
      </w:r>
    </w:p>
    <w:p w:rsidR="00814E8E" w:rsidRPr="00814E8E" w:rsidRDefault="00814E8E" w:rsidP="00814E8E">
      <w:pPr>
        <w:spacing w:after="160" w:line="259" w:lineRule="auto"/>
        <w:ind w:left="360"/>
        <w:jc w:val="both"/>
        <w:rPr>
          <w:rFonts w:ascii="Calibri" w:eastAsiaTheme="minorHAnsi" w:hAnsi="Calibri" w:cs="Arial"/>
          <w:lang w:eastAsia="en-US"/>
        </w:rPr>
      </w:pPr>
      <w:r w:rsidRPr="00814E8E">
        <w:rPr>
          <w:rFonts w:ascii="Calibri" w:eastAsiaTheme="minorHAnsi" w:hAnsi="Calibri" w:cs="Arial"/>
          <w:lang w:eastAsia="en-US"/>
        </w:rPr>
        <w:t>A la fecha no se cuenta con provisiones a corto plazo.</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Reservas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Cambios en políticas contables y corrección de errores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 xml:space="preserve">No existen </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Reclasificaciones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Se realiza la validación de los objeto del gasto de las pólizas  y en su caso las reclasificaciones necesarias.</w:t>
      </w:r>
    </w:p>
    <w:p w:rsidR="00814E8E" w:rsidRPr="00814E8E" w:rsidRDefault="00814E8E" w:rsidP="00814E8E">
      <w:pPr>
        <w:numPr>
          <w:ilvl w:val="0"/>
          <w:numId w:val="4"/>
        </w:numPr>
        <w:spacing w:after="160" w:line="259" w:lineRule="auto"/>
        <w:contextualSpacing/>
        <w:jc w:val="both"/>
        <w:rPr>
          <w:rFonts w:eastAsiaTheme="minorHAnsi"/>
          <w:lang w:eastAsia="en-US"/>
        </w:rPr>
      </w:pPr>
      <w:r w:rsidRPr="00814E8E">
        <w:rPr>
          <w:rFonts w:eastAsiaTheme="minorHAnsi"/>
          <w:lang w:eastAsia="en-US"/>
        </w:rPr>
        <w:t>Depuración y cancelación de saldos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Se realiza la validación de cuentas contables y en su caso la depuración necesaria.</w:t>
      </w:r>
    </w:p>
    <w:p w:rsidR="00814E8E" w:rsidRPr="00814E8E" w:rsidRDefault="00814E8E" w:rsidP="00814E8E">
      <w:pPr>
        <w:spacing w:after="160" w:line="259" w:lineRule="auto"/>
        <w:ind w:left="360"/>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Posición en Moneda Extranjera y Protección por riesgo Cambiario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Reporte Analítico del Activo</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 xml:space="preserve">Vida útil y porcentajes de depreciación </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Cambios en el porcentaje de depreciación</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aplica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Importe de Gastos capitalizados en el ejercicio, financieros o de investigación y desarrollo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se ha aplicado a la fecha.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Riesgo por tipo de cambio o tipo de interés de las inversiones financieras</w:t>
      </w:r>
    </w:p>
    <w:p w:rsid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037650" w:rsidRPr="00814E8E" w:rsidRDefault="00037650" w:rsidP="00814E8E">
      <w:pPr>
        <w:spacing w:after="160" w:line="259" w:lineRule="auto"/>
        <w:ind w:left="360"/>
        <w:jc w:val="both"/>
        <w:rPr>
          <w:rFonts w:eastAsiaTheme="minorHAnsi"/>
          <w:lang w:eastAsia="en-US"/>
        </w:rPr>
      </w:pP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lastRenderedPageBreak/>
        <w:t>Valor activado en el ejercicio de los bienes construidos por la entidad</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Costo Histórico</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Otras circunstancias de carácter significativo</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existen</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Desmantelamiento de activo, procedimiento, implicaciones, efectos contables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No aplica</w:t>
      </w:r>
    </w:p>
    <w:p w:rsidR="00814E8E" w:rsidRPr="00814E8E" w:rsidRDefault="00814E8E" w:rsidP="00814E8E">
      <w:pPr>
        <w:numPr>
          <w:ilvl w:val="0"/>
          <w:numId w:val="5"/>
        </w:numPr>
        <w:spacing w:after="160" w:line="259" w:lineRule="auto"/>
        <w:contextualSpacing/>
        <w:jc w:val="both"/>
        <w:rPr>
          <w:rFonts w:eastAsiaTheme="minorHAnsi"/>
          <w:lang w:eastAsia="en-US"/>
        </w:rPr>
      </w:pPr>
      <w:r w:rsidRPr="00814E8E">
        <w:rPr>
          <w:rFonts w:eastAsiaTheme="minorHAnsi"/>
          <w:lang w:eastAsia="en-US"/>
        </w:rPr>
        <w:t>Administración de activos</w:t>
      </w:r>
    </w:p>
    <w:p w:rsidR="00814E8E" w:rsidRPr="00814E8E" w:rsidRDefault="00814E8E" w:rsidP="00814E8E">
      <w:pPr>
        <w:spacing w:after="160" w:line="259" w:lineRule="auto"/>
        <w:ind w:left="360"/>
        <w:jc w:val="both"/>
        <w:rPr>
          <w:rFonts w:eastAsiaTheme="minorHAnsi"/>
          <w:lang w:eastAsia="en-US"/>
        </w:rPr>
      </w:pPr>
      <w:r w:rsidRPr="00814E8E">
        <w:rPr>
          <w:rFonts w:eastAsiaTheme="minorHAnsi"/>
          <w:lang w:eastAsia="en-US"/>
        </w:rPr>
        <w:t>La administración de activos se realiza a través de la Subdirección de Bienes patrimoniales adscrita a la Contraloría Municipal, y de la Dirección de Bienes Inmuebles adscrita a la Secretaría del Ayuntamiento.</w:t>
      </w: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Fideicomisos, Mandatos y Análogos</w:t>
      </w:r>
    </w:p>
    <w:p w:rsidR="00814E8E" w:rsidRPr="00814E8E" w:rsidRDefault="00814E8E" w:rsidP="00814E8E">
      <w:pPr>
        <w:numPr>
          <w:ilvl w:val="0"/>
          <w:numId w:val="6"/>
        </w:numPr>
        <w:spacing w:after="160" w:line="259" w:lineRule="auto"/>
        <w:contextualSpacing/>
        <w:jc w:val="both"/>
        <w:rPr>
          <w:rFonts w:eastAsiaTheme="minorHAnsi"/>
          <w:lang w:eastAsia="en-US"/>
        </w:rPr>
      </w:pPr>
      <w:r w:rsidRPr="00814E8E">
        <w:rPr>
          <w:rFonts w:eastAsiaTheme="minorHAnsi"/>
          <w:lang w:eastAsia="en-US"/>
        </w:rPr>
        <w:t>Por ramo administrativo que los reporta</w:t>
      </w:r>
    </w:p>
    <w:p w:rsidR="00814E8E" w:rsidRPr="00814E8E" w:rsidRDefault="00814E8E" w:rsidP="00FA70B6">
      <w:pPr>
        <w:spacing w:after="160" w:line="259" w:lineRule="auto"/>
        <w:ind w:left="720"/>
        <w:contextualSpacing/>
        <w:jc w:val="both"/>
        <w:rPr>
          <w:rFonts w:eastAsiaTheme="minorHAnsi"/>
          <w:lang w:eastAsia="en-US"/>
        </w:rPr>
      </w:pPr>
      <w:r w:rsidRPr="00814E8E">
        <w:rPr>
          <w:rFonts w:eastAsiaTheme="minorHAnsi"/>
          <w:lang w:eastAsia="en-US"/>
        </w:rPr>
        <w:t>Fideicomiso de Seguridad Pública 172189 HBMX</w:t>
      </w:r>
    </w:p>
    <w:p w:rsidR="00814E8E" w:rsidRPr="00814E8E" w:rsidRDefault="00814E8E" w:rsidP="00FA70B6">
      <w:pPr>
        <w:spacing w:after="160" w:line="259" w:lineRule="auto"/>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Reporte de Recaudación</w:t>
      </w:r>
    </w:p>
    <w:p w:rsidR="00814E8E" w:rsidRPr="00814E8E" w:rsidRDefault="00814E8E" w:rsidP="00814E8E">
      <w:pPr>
        <w:spacing w:after="160" w:line="259" w:lineRule="auto"/>
        <w:ind w:left="720"/>
        <w:contextualSpacing/>
        <w:jc w:val="both"/>
        <w:rPr>
          <w:rFonts w:eastAsiaTheme="minorHAnsi"/>
          <w:b/>
          <w:lang w:eastAsia="en-US"/>
        </w:rPr>
      </w:pPr>
    </w:p>
    <w:tbl>
      <w:tblPr>
        <w:tblStyle w:val="Tablaconcuadrcula"/>
        <w:tblW w:w="0" w:type="auto"/>
        <w:tblInd w:w="720" w:type="dxa"/>
        <w:tblLook w:val="04A0" w:firstRow="1" w:lastRow="0" w:firstColumn="1" w:lastColumn="0" w:noHBand="0" w:noVBand="1"/>
      </w:tblPr>
      <w:tblGrid>
        <w:gridCol w:w="3122"/>
        <w:gridCol w:w="2886"/>
        <w:gridCol w:w="1489"/>
      </w:tblGrid>
      <w:tr w:rsidR="00814E8E" w:rsidRPr="00814E8E" w:rsidTr="004921A5">
        <w:tc>
          <w:tcPr>
            <w:tcW w:w="3122"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Concepto</w:t>
            </w:r>
          </w:p>
        </w:tc>
        <w:tc>
          <w:tcPr>
            <w:tcW w:w="2886"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Importe</w:t>
            </w:r>
          </w:p>
        </w:tc>
        <w:tc>
          <w:tcPr>
            <w:tcW w:w="1489" w:type="dxa"/>
          </w:tcPr>
          <w:p w:rsidR="00814E8E" w:rsidRPr="00814E8E" w:rsidRDefault="00814E8E" w:rsidP="00814E8E">
            <w:pPr>
              <w:spacing w:after="0" w:line="240" w:lineRule="auto"/>
              <w:contextualSpacing/>
              <w:jc w:val="center"/>
              <w:rPr>
                <w:rFonts w:eastAsiaTheme="minorHAnsi"/>
                <w:b/>
                <w:lang w:eastAsia="en-US"/>
              </w:rPr>
            </w:pPr>
            <w:r w:rsidRPr="00814E8E">
              <w:rPr>
                <w:rFonts w:eastAsiaTheme="minorHAnsi"/>
                <w:b/>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IMPUESTOS</w:t>
            </w:r>
          </w:p>
        </w:tc>
        <w:tc>
          <w:tcPr>
            <w:tcW w:w="2886" w:type="dxa"/>
          </w:tcPr>
          <w:p w:rsidR="00814E8E" w:rsidRPr="00814E8E" w:rsidRDefault="00FA70B6" w:rsidP="00814E8E">
            <w:pPr>
              <w:spacing w:after="0" w:line="240" w:lineRule="auto"/>
              <w:contextualSpacing/>
              <w:jc w:val="right"/>
              <w:rPr>
                <w:rFonts w:eastAsiaTheme="minorHAnsi"/>
                <w:lang w:eastAsia="en-US"/>
              </w:rPr>
            </w:pPr>
            <w:r>
              <w:rPr>
                <w:rFonts w:eastAsiaTheme="minorHAnsi"/>
                <w:lang w:eastAsia="en-US"/>
              </w:rPr>
              <w:t>75</w:t>
            </w:r>
            <w:r w:rsidR="00814E8E" w:rsidRPr="00814E8E">
              <w:rPr>
                <w:rFonts w:eastAsiaTheme="minorHAnsi"/>
                <w:lang w:eastAsia="en-US"/>
              </w:rPr>
              <w:t>,</w:t>
            </w:r>
            <w:r>
              <w:rPr>
                <w:rFonts w:eastAsiaTheme="minorHAnsi"/>
                <w:lang w:eastAsia="en-US"/>
              </w:rPr>
              <w:t>917</w:t>
            </w:r>
            <w:r w:rsidR="00814E8E" w:rsidRPr="00814E8E">
              <w:rPr>
                <w:rFonts w:eastAsiaTheme="minorHAnsi"/>
                <w:lang w:eastAsia="en-US"/>
              </w:rPr>
              <w:t>,</w:t>
            </w:r>
            <w:r>
              <w:rPr>
                <w:rFonts w:eastAsiaTheme="minorHAnsi"/>
                <w:lang w:eastAsia="en-US"/>
              </w:rPr>
              <w:t>378</w:t>
            </w:r>
          </w:p>
        </w:tc>
        <w:tc>
          <w:tcPr>
            <w:tcW w:w="1489" w:type="dxa"/>
          </w:tcPr>
          <w:p w:rsidR="00814E8E" w:rsidRPr="00814E8E" w:rsidRDefault="00814E8E" w:rsidP="009720C7">
            <w:pPr>
              <w:spacing w:after="0" w:line="240" w:lineRule="auto"/>
              <w:contextualSpacing/>
              <w:jc w:val="right"/>
              <w:rPr>
                <w:rFonts w:eastAsiaTheme="minorHAnsi"/>
                <w:lang w:eastAsia="en-US"/>
              </w:rPr>
            </w:pPr>
            <w:r w:rsidRPr="00814E8E">
              <w:rPr>
                <w:rFonts w:eastAsiaTheme="minorHAnsi"/>
                <w:lang w:eastAsia="en-US"/>
              </w:rPr>
              <w:t>1</w:t>
            </w:r>
            <w:r w:rsidR="009720C7">
              <w:rPr>
                <w:rFonts w:eastAsiaTheme="minorHAnsi"/>
                <w:lang w:eastAsia="en-US"/>
              </w:rPr>
              <w:t>4</w:t>
            </w:r>
            <w:r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CONTRIBUCIONES A MEJORAS</w:t>
            </w:r>
          </w:p>
        </w:tc>
        <w:tc>
          <w:tcPr>
            <w:tcW w:w="2886"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2,</w:t>
            </w:r>
            <w:r w:rsidR="00FA70B6">
              <w:rPr>
                <w:rFonts w:eastAsiaTheme="minorHAnsi"/>
                <w:lang w:eastAsia="en-US"/>
              </w:rPr>
              <w:t>027,292</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1%</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DERECHOS</w:t>
            </w:r>
          </w:p>
        </w:tc>
        <w:tc>
          <w:tcPr>
            <w:tcW w:w="2886" w:type="dxa"/>
          </w:tcPr>
          <w:p w:rsidR="00814E8E" w:rsidRPr="00814E8E" w:rsidRDefault="00FA70B6" w:rsidP="00814E8E">
            <w:pPr>
              <w:spacing w:after="0" w:line="240" w:lineRule="auto"/>
              <w:contextualSpacing/>
              <w:jc w:val="right"/>
              <w:rPr>
                <w:rFonts w:eastAsiaTheme="minorHAnsi"/>
                <w:lang w:eastAsia="en-US"/>
              </w:rPr>
            </w:pPr>
            <w:r>
              <w:rPr>
                <w:rFonts w:eastAsiaTheme="minorHAnsi"/>
                <w:lang w:eastAsia="en-US"/>
              </w:rPr>
              <w:t>48,820,864</w:t>
            </w:r>
          </w:p>
        </w:tc>
        <w:tc>
          <w:tcPr>
            <w:tcW w:w="1489" w:type="dxa"/>
          </w:tcPr>
          <w:p w:rsidR="00814E8E" w:rsidRPr="00814E8E" w:rsidRDefault="009720C7" w:rsidP="00814E8E">
            <w:pPr>
              <w:spacing w:after="0" w:line="240" w:lineRule="auto"/>
              <w:contextualSpacing/>
              <w:jc w:val="right"/>
              <w:rPr>
                <w:rFonts w:eastAsiaTheme="minorHAnsi"/>
                <w:lang w:eastAsia="en-US"/>
              </w:rPr>
            </w:pPr>
            <w:r>
              <w:rPr>
                <w:rFonts w:eastAsiaTheme="minorHAnsi"/>
                <w:lang w:eastAsia="en-US"/>
              </w:rPr>
              <w:t>9</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PRODUCTOS DE TIPO CORRIENTE</w:t>
            </w:r>
          </w:p>
        </w:tc>
        <w:tc>
          <w:tcPr>
            <w:tcW w:w="2886" w:type="dxa"/>
          </w:tcPr>
          <w:p w:rsidR="00814E8E" w:rsidRPr="00814E8E" w:rsidRDefault="00FA70B6" w:rsidP="00814E8E">
            <w:pPr>
              <w:spacing w:after="0" w:line="240" w:lineRule="auto"/>
              <w:contextualSpacing/>
              <w:jc w:val="right"/>
              <w:rPr>
                <w:rFonts w:eastAsiaTheme="minorHAnsi"/>
                <w:lang w:eastAsia="en-US"/>
              </w:rPr>
            </w:pPr>
            <w:r>
              <w:rPr>
                <w:rFonts w:eastAsiaTheme="minorHAnsi"/>
                <w:lang w:eastAsia="en-US"/>
              </w:rPr>
              <w:t>16,635,876</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3%</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APROVECHAMIENTOS DE TIPO CORRIENTE</w:t>
            </w:r>
          </w:p>
        </w:tc>
        <w:tc>
          <w:tcPr>
            <w:tcW w:w="2886"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13,</w:t>
            </w:r>
            <w:r w:rsidR="009720C7">
              <w:rPr>
                <w:rFonts w:eastAsiaTheme="minorHAnsi"/>
                <w:lang w:eastAsia="en-US"/>
              </w:rPr>
              <w:t>852,062</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2%</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PARTICIPACIONES</w:t>
            </w:r>
          </w:p>
        </w:tc>
        <w:tc>
          <w:tcPr>
            <w:tcW w:w="2886" w:type="dxa"/>
          </w:tcPr>
          <w:p w:rsidR="00814E8E" w:rsidRPr="00814E8E" w:rsidRDefault="00FA70B6" w:rsidP="00814E8E">
            <w:pPr>
              <w:spacing w:after="0" w:line="240" w:lineRule="auto"/>
              <w:contextualSpacing/>
              <w:jc w:val="right"/>
              <w:rPr>
                <w:rFonts w:eastAsiaTheme="minorHAnsi"/>
                <w:lang w:eastAsia="en-US"/>
              </w:rPr>
            </w:pPr>
            <w:r>
              <w:rPr>
                <w:rFonts w:eastAsiaTheme="minorHAnsi"/>
                <w:lang w:eastAsia="en-US"/>
              </w:rPr>
              <w:t>396,976,866</w:t>
            </w:r>
          </w:p>
        </w:tc>
        <w:tc>
          <w:tcPr>
            <w:tcW w:w="1489" w:type="dxa"/>
          </w:tcPr>
          <w:p w:rsidR="00814E8E" w:rsidRPr="00814E8E" w:rsidRDefault="009720C7" w:rsidP="00814E8E">
            <w:pPr>
              <w:spacing w:after="0" w:line="240" w:lineRule="auto"/>
              <w:contextualSpacing/>
              <w:jc w:val="right"/>
              <w:rPr>
                <w:rFonts w:eastAsiaTheme="minorHAnsi"/>
                <w:lang w:eastAsia="en-US"/>
              </w:rPr>
            </w:pPr>
            <w:r>
              <w:rPr>
                <w:rFonts w:eastAsiaTheme="minorHAnsi"/>
                <w:lang w:eastAsia="en-US"/>
              </w:rPr>
              <w:t>71</w:t>
            </w:r>
            <w:r w:rsidR="00814E8E" w:rsidRPr="00814E8E">
              <w:rPr>
                <w:rFonts w:eastAsiaTheme="minorHAnsi"/>
                <w:lang w:eastAsia="en-US"/>
              </w:rPr>
              <w:t>%</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lang w:eastAsia="en-US"/>
              </w:rPr>
            </w:pPr>
            <w:r w:rsidRPr="00814E8E">
              <w:rPr>
                <w:rFonts w:eastAsiaTheme="minorHAnsi"/>
                <w:lang w:eastAsia="en-US"/>
              </w:rPr>
              <w:t>OTROS INGRESOS</w:t>
            </w:r>
          </w:p>
        </w:tc>
        <w:tc>
          <w:tcPr>
            <w:tcW w:w="2886"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0</w:t>
            </w:r>
          </w:p>
        </w:tc>
        <w:tc>
          <w:tcPr>
            <w:tcW w:w="1489" w:type="dxa"/>
          </w:tcPr>
          <w:p w:rsidR="00814E8E" w:rsidRPr="00814E8E" w:rsidRDefault="00814E8E" w:rsidP="00814E8E">
            <w:pPr>
              <w:spacing w:after="0" w:line="240" w:lineRule="auto"/>
              <w:contextualSpacing/>
              <w:jc w:val="right"/>
              <w:rPr>
                <w:rFonts w:eastAsiaTheme="minorHAnsi"/>
                <w:lang w:eastAsia="en-US"/>
              </w:rPr>
            </w:pPr>
            <w:r w:rsidRPr="00814E8E">
              <w:rPr>
                <w:rFonts w:eastAsiaTheme="minorHAnsi"/>
                <w:lang w:eastAsia="en-US"/>
              </w:rPr>
              <w:t>0.0%</w:t>
            </w:r>
          </w:p>
        </w:tc>
      </w:tr>
      <w:tr w:rsidR="00814E8E" w:rsidRPr="00814E8E" w:rsidTr="004921A5">
        <w:tc>
          <w:tcPr>
            <w:tcW w:w="3122" w:type="dxa"/>
          </w:tcPr>
          <w:p w:rsidR="00814E8E" w:rsidRPr="00814E8E" w:rsidRDefault="00814E8E" w:rsidP="00814E8E">
            <w:pPr>
              <w:spacing w:after="0" w:line="240" w:lineRule="auto"/>
              <w:contextualSpacing/>
              <w:jc w:val="both"/>
              <w:rPr>
                <w:rFonts w:eastAsiaTheme="minorHAnsi"/>
                <w:b/>
                <w:lang w:eastAsia="en-US"/>
              </w:rPr>
            </w:pPr>
            <w:r w:rsidRPr="00814E8E">
              <w:rPr>
                <w:rFonts w:eastAsiaTheme="minorHAnsi"/>
                <w:b/>
                <w:lang w:eastAsia="en-US"/>
              </w:rPr>
              <w:t>TOTAL</w:t>
            </w:r>
          </w:p>
        </w:tc>
        <w:tc>
          <w:tcPr>
            <w:tcW w:w="2886" w:type="dxa"/>
          </w:tcPr>
          <w:p w:rsidR="00814E8E" w:rsidRPr="00814E8E" w:rsidRDefault="009720C7" w:rsidP="00814E8E">
            <w:pPr>
              <w:spacing w:after="0" w:line="240" w:lineRule="auto"/>
              <w:contextualSpacing/>
              <w:jc w:val="right"/>
              <w:rPr>
                <w:rFonts w:eastAsiaTheme="minorHAnsi"/>
                <w:b/>
                <w:lang w:eastAsia="en-US"/>
              </w:rPr>
            </w:pPr>
            <w:r>
              <w:rPr>
                <w:rFonts w:eastAsiaTheme="minorHAnsi"/>
                <w:b/>
                <w:lang w:eastAsia="en-US"/>
              </w:rPr>
              <w:t>554,230,338</w:t>
            </w:r>
          </w:p>
        </w:tc>
        <w:tc>
          <w:tcPr>
            <w:tcW w:w="1489" w:type="dxa"/>
          </w:tcPr>
          <w:p w:rsidR="00814E8E" w:rsidRPr="00814E8E" w:rsidRDefault="00814E8E" w:rsidP="00814E8E">
            <w:pPr>
              <w:spacing w:after="0" w:line="240" w:lineRule="auto"/>
              <w:contextualSpacing/>
              <w:jc w:val="right"/>
              <w:rPr>
                <w:rFonts w:eastAsiaTheme="minorHAnsi"/>
                <w:b/>
                <w:lang w:eastAsia="en-US"/>
              </w:rPr>
            </w:pPr>
            <w:r w:rsidRPr="00814E8E">
              <w:rPr>
                <w:rFonts w:eastAsiaTheme="minorHAnsi"/>
                <w:b/>
                <w:lang w:eastAsia="en-US"/>
              </w:rPr>
              <w:t>100%</w:t>
            </w:r>
          </w:p>
        </w:tc>
      </w:tr>
      <w:tr w:rsidR="00814E8E" w:rsidRPr="00814E8E" w:rsidTr="004921A5">
        <w:tc>
          <w:tcPr>
            <w:tcW w:w="3122" w:type="dxa"/>
          </w:tcPr>
          <w:p w:rsidR="00814E8E" w:rsidRPr="00814E8E" w:rsidRDefault="00814E8E" w:rsidP="00FA70B6">
            <w:pPr>
              <w:spacing w:after="0" w:line="240" w:lineRule="auto"/>
              <w:contextualSpacing/>
              <w:jc w:val="both"/>
              <w:rPr>
                <w:rFonts w:eastAsiaTheme="minorHAnsi"/>
                <w:b/>
                <w:lang w:eastAsia="en-US"/>
              </w:rPr>
            </w:pPr>
            <w:r w:rsidRPr="00814E8E">
              <w:rPr>
                <w:rFonts w:eastAsiaTheme="minorHAnsi"/>
                <w:b/>
                <w:lang w:eastAsia="en-US"/>
              </w:rPr>
              <w:t xml:space="preserve">De </w:t>
            </w:r>
            <w:r w:rsidR="00FA70B6">
              <w:rPr>
                <w:rFonts w:eastAsiaTheme="minorHAnsi"/>
                <w:b/>
                <w:lang w:eastAsia="en-US"/>
              </w:rPr>
              <w:t>Julio</w:t>
            </w:r>
            <w:r w:rsidRPr="00814E8E">
              <w:rPr>
                <w:rFonts w:eastAsiaTheme="minorHAnsi"/>
                <w:b/>
                <w:lang w:eastAsia="en-US"/>
              </w:rPr>
              <w:t xml:space="preserve"> a </w:t>
            </w:r>
            <w:r w:rsidR="00FA70B6">
              <w:rPr>
                <w:rFonts w:eastAsiaTheme="minorHAnsi"/>
                <w:b/>
                <w:lang w:eastAsia="en-US"/>
              </w:rPr>
              <w:t>Septiembre</w:t>
            </w:r>
            <w:r w:rsidRPr="00814E8E">
              <w:rPr>
                <w:rFonts w:eastAsiaTheme="minorHAnsi"/>
                <w:b/>
                <w:lang w:eastAsia="en-US"/>
              </w:rPr>
              <w:t xml:space="preserve"> 2016</w:t>
            </w:r>
          </w:p>
        </w:tc>
        <w:tc>
          <w:tcPr>
            <w:tcW w:w="2886" w:type="dxa"/>
          </w:tcPr>
          <w:p w:rsidR="00814E8E" w:rsidRPr="00814E8E" w:rsidRDefault="00814E8E" w:rsidP="00814E8E">
            <w:pPr>
              <w:spacing w:after="0" w:line="240" w:lineRule="auto"/>
              <w:contextualSpacing/>
              <w:jc w:val="right"/>
              <w:rPr>
                <w:rFonts w:eastAsiaTheme="minorHAnsi"/>
                <w:lang w:eastAsia="en-US"/>
              </w:rPr>
            </w:pPr>
          </w:p>
        </w:tc>
        <w:tc>
          <w:tcPr>
            <w:tcW w:w="1489" w:type="dxa"/>
          </w:tcPr>
          <w:p w:rsidR="00814E8E" w:rsidRPr="00814E8E" w:rsidRDefault="00814E8E" w:rsidP="00814E8E">
            <w:pPr>
              <w:spacing w:after="0" w:line="240" w:lineRule="auto"/>
              <w:contextualSpacing/>
              <w:jc w:val="right"/>
              <w:rPr>
                <w:rFonts w:eastAsiaTheme="minorHAnsi"/>
                <w:lang w:eastAsia="en-US"/>
              </w:rPr>
            </w:pPr>
          </w:p>
        </w:tc>
      </w:tr>
    </w:tbl>
    <w:p w:rsidR="00814E8E" w:rsidRPr="00814E8E" w:rsidRDefault="00814E8E" w:rsidP="00814E8E">
      <w:pPr>
        <w:spacing w:after="160" w:line="259" w:lineRule="auto"/>
        <w:ind w:left="720"/>
        <w:contextualSpacing/>
        <w:jc w:val="both"/>
        <w:rPr>
          <w:rFonts w:eastAsiaTheme="minorHAnsi"/>
          <w:b/>
          <w:lang w:eastAsia="en-US"/>
        </w:rPr>
      </w:pPr>
    </w:p>
    <w:p w:rsidR="00814E8E" w:rsidRPr="00814E8E" w:rsidRDefault="00814E8E" w:rsidP="00814E8E">
      <w:pPr>
        <w:spacing w:after="160" w:line="259" w:lineRule="auto"/>
        <w:ind w:left="720"/>
        <w:contextualSpacing/>
        <w:jc w:val="both"/>
        <w:rPr>
          <w:rFonts w:eastAsiaTheme="minorHAnsi"/>
          <w:lang w:eastAsia="en-US"/>
        </w:rPr>
      </w:pPr>
      <w:r w:rsidRPr="00814E8E">
        <w:rPr>
          <w:rFonts w:eastAsiaTheme="minorHAnsi"/>
          <w:lang w:eastAsia="en-US"/>
        </w:rPr>
        <w:t>De los ingresos totales, los ingresos propios representan el 33% y las participaciones el 67%.</w:t>
      </w:r>
    </w:p>
    <w:p w:rsidR="00814E8E" w:rsidRPr="00814E8E" w:rsidRDefault="00814E8E" w:rsidP="00814E8E">
      <w:pPr>
        <w:spacing w:after="160" w:line="259" w:lineRule="auto"/>
        <w:ind w:left="720"/>
        <w:contextualSpacing/>
        <w:jc w:val="both"/>
        <w:rPr>
          <w:rFonts w:eastAsiaTheme="minorHAnsi"/>
          <w:lang w:eastAsia="en-US"/>
        </w:rPr>
      </w:pPr>
    </w:p>
    <w:p w:rsidR="00814E8E" w:rsidRPr="00814E8E" w:rsidRDefault="00814E8E" w:rsidP="00814E8E">
      <w:pPr>
        <w:numPr>
          <w:ilvl w:val="0"/>
          <w:numId w:val="1"/>
        </w:numPr>
        <w:spacing w:after="160" w:line="259" w:lineRule="auto"/>
        <w:contextualSpacing/>
        <w:jc w:val="both"/>
        <w:rPr>
          <w:rFonts w:eastAsiaTheme="minorHAnsi"/>
          <w:b/>
          <w:lang w:eastAsia="en-US"/>
        </w:rPr>
      </w:pPr>
      <w:r w:rsidRPr="00814E8E">
        <w:rPr>
          <w:rFonts w:eastAsiaTheme="minorHAnsi"/>
          <w:b/>
          <w:lang w:eastAsia="en-US"/>
        </w:rPr>
        <w:t>Información de la Deuda y el Reporte Analítico de la Deuda</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 xml:space="preserve">La Administración 2014 – 2017  recibió una deuda bancaria en ceros, condición que se mantiene a la fecha. </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Calificaciones Otorgadas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Se incrementó la calificación a “</w:t>
      </w:r>
      <w:proofErr w:type="gramStart"/>
      <w:r w:rsidRPr="00814E8E">
        <w:rPr>
          <w:rFonts w:eastAsiaTheme="minorHAnsi" w:cs="Arial"/>
          <w:lang w:eastAsia="en-US"/>
        </w:rPr>
        <w:t>AA(</w:t>
      </w:r>
      <w:proofErr w:type="spellStart"/>
      <w:proofErr w:type="gramEnd"/>
      <w:r w:rsidRPr="00814E8E">
        <w:rPr>
          <w:rFonts w:eastAsiaTheme="minorHAnsi" w:cs="Arial"/>
          <w:lang w:eastAsia="en-US"/>
        </w:rPr>
        <w:t>Mex</w:t>
      </w:r>
      <w:proofErr w:type="spellEnd"/>
      <w:r w:rsidRPr="00814E8E">
        <w:rPr>
          <w:rFonts w:eastAsiaTheme="minorHAnsi" w:cs="Arial"/>
          <w:lang w:eastAsia="en-US"/>
        </w:rPr>
        <w:t xml:space="preserve">)” por </w:t>
      </w:r>
      <w:proofErr w:type="spellStart"/>
      <w:r w:rsidRPr="00814E8E">
        <w:rPr>
          <w:rFonts w:eastAsiaTheme="minorHAnsi" w:cs="Arial"/>
          <w:lang w:eastAsia="en-US"/>
        </w:rPr>
        <w:t>Fitch</w:t>
      </w:r>
      <w:proofErr w:type="spellEnd"/>
      <w:r w:rsidRPr="00814E8E">
        <w:rPr>
          <w:rFonts w:eastAsiaTheme="minorHAnsi" w:cs="Arial"/>
          <w:lang w:eastAsia="en-US"/>
        </w:rPr>
        <w:t xml:space="preserve"> Ratings y se mantuvo la calificación de “</w:t>
      </w:r>
      <w:proofErr w:type="spellStart"/>
      <w:r w:rsidRPr="00814E8E">
        <w:rPr>
          <w:rFonts w:eastAsiaTheme="minorHAnsi" w:cs="Arial"/>
          <w:lang w:eastAsia="en-US"/>
        </w:rPr>
        <w:t>mxAA</w:t>
      </w:r>
      <w:proofErr w:type="spellEnd"/>
      <w:r w:rsidRPr="00814E8E">
        <w:rPr>
          <w:rFonts w:eastAsiaTheme="minorHAnsi" w:cs="Arial"/>
          <w:lang w:eastAsia="en-US"/>
        </w:rPr>
        <w:t xml:space="preserve">“ por Standard &amp; </w:t>
      </w:r>
      <w:proofErr w:type="spellStart"/>
      <w:r w:rsidRPr="00814E8E">
        <w:rPr>
          <w:rFonts w:eastAsiaTheme="minorHAnsi" w:cs="Arial"/>
          <w:lang w:eastAsia="en-US"/>
        </w:rPr>
        <w:t>Poors</w:t>
      </w:r>
      <w:proofErr w:type="spellEnd"/>
      <w:r w:rsidRPr="00814E8E">
        <w:rPr>
          <w:rFonts w:eastAsiaTheme="minorHAnsi" w:cs="Arial"/>
          <w:lang w:eastAsia="en-US"/>
        </w:rPr>
        <w:t xml:space="preserve">  que equivalen  a una “Muy Alta”  Calidad Crediticia, ambas con perspectiva estable. Esto facilita al Municipio el acceso al mercado de dinero en condiciones más favorables y lo inscribe en la ruta de la excelencia, desde la óptica financiera. </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lastRenderedPageBreak/>
        <w:t>Procesos de Mejora</w:t>
      </w:r>
    </w:p>
    <w:p w:rsidR="00814E8E" w:rsidRPr="00814E8E" w:rsidRDefault="00814E8E" w:rsidP="00814E8E">
      <w:pPr>
        <w:numPr>
          <w:ilvl w:val="0"/>
          <w:numId w:val="7"/>
        </w:numPr>
        <w:spacing w:after="160" w:line="360" w:lineRule="auto"/>
        <w:contextualSpacing/>
        <w:jc w:val="both"/>
        <w:rPr>
          <w:rFonts w:eastAsiaTheme="minorHAnsi" w:cs="Arial"/>
          <w:lang w:eastAsia="en-US"/>
        </w:rPr>
      </w:pPr>
      <w:r w:rsidRPr="00814E8E">
        <w:rPr>
          <w:rFonts w:eastAsiaTheme="minorHAnsi" w:cs="Arial"/>
          <w:lang w:eastAsia="en-US"/>
        </w:rPr>
        <w:t>Principales Políticas de control interno</w:t>
      </w:r>
    </w:p>
    <w:p w:rsidR="00814E8E" w:rsidRPr="00814E8E" w:rsidRDefault="00814E8E" w:rsidP="00814E8E">
      <w:pPr>
        <w:shd w:val="clear" w:color="auto" w:fill="FFFFFF"/>
        <w:spacing w:after="125" w:line="240" w:lineRule="auto"/>
        <w:ind w:left="10" w:right="109"/>
        <w:jc w:val="both"/>
        <w:rPr>
          <w:rFonts w:eastAsia="Times New Roman" w:cs="Arial"/>
          <w:color w:val="222222"/>
        </w:rPr>
      </w:pPr>
      <w:r w:rsidRPr="00814E8E">
        <w:rPr>
          <w:rFonts w:eastAsia="Times New Roman" w:cs="Arial"/>
          <w:bCs/>
          <w:color w:val="222222"/>
        </w:rPr>
        <w:t>El control interno municipal  nos permite dirigir los esfuerzos administrativos para cumplir con eficiencia, eficacia y economía las tareas encomendadas al Ayuntamiento. Es el plan que nos permite, conocer y estudiar  el manejo de la hacienda pública y su patrimonio, analizar la 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fuerzas y debilidades en el desarrollo de las operaciones, de conformidad con la normativa vigente.</w:t>
      </w:r>
    </w:p>
    <w:p w:rsidR="00814E8E" w:rsidRPr="00814E8E" w:rsidRDefault="00814E8E" w:rsidP="00814E8E">
      <w:pPr>
        <w:shd w:val="clear" w:color="auto" w:fill="FFFFFF"/>
        <w:spacing w:after="0" w:line="240" w:lineRule="auto"/>
        <w:ind w:right="109"/>
        <w:jc w:val="both"/>
        <w:rPr>
          <w:rFonts w:eastAsia="Times New Roman" w:cs="Arial"/>
          <w:bCs/>
          <w:color w:val="222222"/>
        </w:rPr>
      </w:pPr>
      <w:r w:rsidRPr="00814E8E">
        <w:rPr>
          <w:rFonts w:eastAsia="Times New Roman" w:cs="Arial"/>
          <w:bCs/>
          <w:color w:val="222222"/>
        </w:rPr>
        <w:t>Los principales procedimientos municipales son:</w:t>
      </w:r>
    </w:p>
    <w:p w:rsidR="00814E8E" w:rsidRPr="00814E8E" w:rsidRDefault="00814E8E" w:rsidP="00814E8E">
      <w:pPr>
        <w:shd w:val="clear" w:color="auto" w:fill="FFFFFF"/>
        <w:spacing w:after="0" w:line="240" w:lineRule="auto"/>
        <w:ind w:right="109"/>
        <w:jc w:val="both"/>
        <w:rPr>
          <w:rFonts w:eastAsia="Times New Roman" w:cs="Arial"/>
          <w:color w:val="222222"/>
        </w:rPr>
      </w:pPr>
    </w:p>
    <w:p w:rsidR="00814E8E" w:rsidRPr="00814E8E" w:rsidRDefault="00814E8E" w:rsidP="00814E8E">
      <w:pPr>
        <w:shd w:val="clear" w:color="auto" w:fill="FFFFFF"/>
        <w:spacing w:after="0" w:line="240" w:lineRule="auto"/>
        <w:ind w:right="109"/>
        <w:jc w:val="both"/>
        <w:rPr>
          <w:rFonts w:eastAsia="Times New Roman" w:cs="Arial"/>
          <w:color w:val="222222"/>
        </w:rPr>
      </w:pP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 xml:space="preserve">Procedimiento de Fondo </w:t>
      </w:r>
      <w:proofErr w:type="spellStart"/>
      <w:r w:rsidRPr="00814E8E">
        <w:rPr>
          <w:rFonts w:eastAsia="Times New Roman" w:cs="Arial"/>
          <w:bCs/>
          <w:color w:val="222222"/>
          <w:lang w:val="es-ES"/>
        </w:rPr>
        <w:t>Revolvente</w:t>
      </w:r>
      <w:proofErr w:type="spellEnd"/>
      <w:r w:rsidRPr="00814E8E">
        <w:rPr>
          <w:rFonts w:eastAsia="Times New Roman" w:cs="Arial"/>
          <w:bCs/>
          <w:color w:val="222222"/>
          <w:lang w:val="es-ES"/>
        </w:rPr>
        <w:t> </w:t>
      </w: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Prestamos al personal</w:t>
      </w:r>
    </w:p>
    <w:p w:rsidR="00814E8E" w:rsidRPr="00814E8E" w:rsidRDefault="00814E8E" w:rsidP="00814E8E">
      <w:pPr>
        <w:numPr>
          <w:ilvl w:val="0"/>
          <w:numId w:val="8"/>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Control de Combustible</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Lineamiento para Comprobación de Egresos </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viáticos y gastos a comprobar</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Pago a Proveedores, Contratistas y Prestadores de servicio</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Auditoria Interna</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Auditoria de obra publica</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Finiquito de Obra por entrega recepción</w:t>
      </w:r>
    </w:p>
    <w:p w:rsidR="00814E8E" w:rsidRPr="00814E8E" w:rsidRDefault="00814E8E" w:rsidP="00814E8E">
      <w:pPr>
        <w:numPr>
          <w:ilvl w:val="0"/>
          <w:numId w:val="9"/>
        </w:numPr>
        <w:shd w:val="clear" w:color="auto" w:fill="FFFFFF"/>
        <w:spacing w:after="0" w:line="240" w:lineRule="auto"/>
        <w:ind w:left="945"/>
        <w:jc w:val="both"/>
        <w:rPr>
          <w:rFonts w:eastAsia="Times New Roman" w:cs="Arial"/>
          <w:color w:val="222222"/>
        </w:rPr>
      </w:pPr>
      <w:r w:rsidRPr="00814E8E">
        <w:rPr>
          <w:rFonts w:eastAsia="Times New Roman" w:cs="Arial"/>
          <w:bCs/>
          <w:color w:val="222222"/>
          <w:lang w:val="es-ES"/>
        </w:rPr>
        <w:t>procedimiento de supervisión de obra</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Pagos por Transferencia Electrónica</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Cierre Mensual de Presupuesto</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Transferencias Presupuestales</w:t>
      </w:r>
    </w:p>
    <w:p w:rsidR="00814E8E" w:rsidRPr="00814E8E" w:rsidRDefault="00814E8E" w:rsidP="00814E8E">
      <w:pPr>
        <w:numPr>
          <w:ilvl w:val="0"/>
          <w:numId w:val="9"/>
        </w:numPr>
        <w:shd w:val="clear" w:color="auto" w:fill="FFFFFF"/>
        <w:spacing w:before="100" w:beforeAutospacing="1" w:after="100" w:afterAutospacing="1" w:line="240" w:lineRule="auto"/>
        <w:ind w:left="945"/>
        <w:rPr>
          <w:rFonts w:eastAsia="Times New Roman" w:cs="Arial"/>
          <w:color w:val="222222"/>
        </w:rPr>
      </w:pPr>
      <w:r w:rsidRPr="00814E8E">
        <w:rPr>
          <w:rFonts w:eastAsia="Times New Roman" w:cs="Arial"/>
          <w:bCs/>
          <w:color w:val="222222"/>
          <w:lang w:val="es-ES"/>
        </w:rPr>
        <w:t>Procedimiento de Requisición de Compras</w:t>
      </w:r>
    </w:p>
    <w:p w:rsidR="00814E8E" w:rsidRPr="00814E8E" w:rsidRDefault="00814E8E" w:rsidP="00814E8E">
      <w:pPr>
        <w:numPr>
          <w:ilvl w:val="0"/>
          <w:numId w:val="7"/>
        </w:numPr>
        <w:spacing w:after="160" w:line="360" w:lineRule="auto"/>
        <w:contextualSpacing/>
        <w:jc w:val="both"/>
        <w:rPr>
          <w:rFonts w:eastAsiaTheme="minorHAnsi" w:cs="Arial"/>
          <w:lang w:eastAsia="en-US"/>
        </w:rPr>
      </w:pPr>
      <w:r w:rsidRPr="00814E8E">
        <w:rPr>
          <w:rFonts w:eastAsiaTheme="minorHAnsi" w:cs="Arial"/>
          <w:lang w:eastAsia="en-US"/>
        </w:rPr>
        <w:t>Medidas de desempeño financiero</w:t>
      </w:r>
    </w:p>
    <w:p w:rsidR="00814E8E" w:rsidRPr="00814E8E" w:rsidRDefault="00814E8E" w:rsidP="00814E8E">
      <w:pPr>
        <w:numPr>
          <w:ilvl w:val="0"/>
          <w:numId w:val="10"/>
        </w:numPr>
        <w:spacing w:after="104" w:line="240" w:lineRule="auto"/>
        <w:ind w:right="109"/>
        <w:contextualSpacing/>
        <w:rPr>
          <w:rFonts w:eastAsia="Times New Roman" w:cs="Times New Roman"/>
          <w:bCs/>
          <w:iCs/>
          <w:color w:val="222222"/>
          <w:shd w:val="clear" w:color="auto" w:fill="FFFFFF"/>
        </w:rPr>
      </w:pPr>
      <w:r w:rsidRPr="00814E8E">
        <w:rPr>
          <w:rFonts w:eastAsia="Times New Roman" w:cs="Arial"/>
          <w:bCs/>
          <w:iCs/>
          <w:color w:val="222222"/>
          <w:shd w:val="clear" w:color="auto" w:fill="FFFFFF"/>
        </w:rPr>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rsidR="00814E8E" w:rsidRPr="00814E8E" w:rsidRDefault="00814E8E" w:rsidP="00814E8E">
      <w:pPr>
        <w:numPr>
          <w:ilvl w:val="0"/>
          <w:numId w:val="10"/>
        </w:numPr>
        <w:spacing w:after="104" w:line="240" w:lineRule="auto"/>
        <w:ind w:right="109"/>
        <w:contextualSpacing/>
        <w:rPr>
          <w:rFonts w:eastAsia="Times New Roman" w:cs="Times New Roman"/>
          <w:bCs/>
          <w:iCs/>
          <w:color w:val="222222"/>
          <w:shd w:val="clear" w:color="auto" w:fill="FFFFFF"/>
        </w:rPr>
      </w:pPr>
      <w:r w:rsidRPr="00814E8E">
        <w:rPr>
          <w:rFonts w:eastAsia="Times New Roman" w:cs="Arial"/>
          <w:bCs/>
          <w:iCs/>
          <w:color w:val="222222"/>
          <w:shd w:val="clear" w:color="auto" w:fill="FFFFFF"/>
        </w:rPr>
        <w:t>Lograr que los recursos destinados a los municipios, se optimicen mediante su integración en un solo instrumento de los Ayuntamientos, bajo políticas, normas y directrices comunes.</w:t>
      </w:r>
    </w:p>
    <w:p w:rsidR="00814E8E" w:rsidRPr="00814E8E" w:rsidRDefault="00814E8E" w:rsidP="00814E8E">
      <w:pPr>
        <w:numPr>
          <w:ilvl w:val="0"/>
          <w:numId w:val="10"/>
        </w:numPr>
        <w:spacing w:before="100" w:beforeAutospacing="1" w:after="100" w:afterAutospacing="1" w:line="240" w:lineRule="auto"/>
        <w:contextualSpacing/>
        <w:jc w:val="both"/>
        <w:rPr>
          <w:rFonts w:eastAsia="Times New Roman" w:cs="Arial"/>
          <w:bCs/>
          <w:iCs/>
          <w:color w:val="222222"/>
          <w:shd w:val="clear" w:color="auto" w:fill="FFFFFF"/>
        </w:rPr>
      </w:pPr>
      <w:r w:rsidRPr="00814E8E">
        <w:rPr>
          <w:rFonts w:eastAsia="Times New Roman" w:cs="Arial"/>
          <w:bCs/>
          <w:iCs/>
          <w:color w:val="222222"/>
          <w:shd w:val="clear" w:color="auto" w:fill="FFFFFF"/>
        </w:rPr>
        <w:t>Promover que la vigilancia, supervisión, evaluación y control se constituyan en medio preventivo para evitar la corrupción dentro de la administración pública municipal.</w:t>
      </w:r>
    </w:p>
    <w:p w:rsidR="00814E8E" w:rsidRPr="00814E8E" w:rsidRDefault="00814E8E" w:rsidP="00814E8E">
      <w:pPr>
        <w:spacing w:before="100" w:beforeAutospacing="1" w:after="100" w:afterAutospacing="1" w:line="240" w:lineRule="auto"/>
        <w:ind w:left="720"/>
        <w:contextualSpacing/>
        <w:jc w:val="both"/>
        <w:rPr>
          <w:rFonts w:eastAsia="Times New Roman" w:cs="Arial"/>
          <w:bCs/>
          <w:iCs/>
          <w:color w:val="222222"/>
          <w:shd w:val="clear" w:color="auto" w:fill="FFFFFF"/>
        </w:rPr>
      </w:pP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 xml:space="preserve"> Información por Segmentos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t>Eventos Posteriores al Cierre</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814E8E" w:rsidRPr="00814E8E" w:rsidRDefault="00814E8E" w:rsidP="00814E8E">
      <w:pPr>
        <w:numPr>
          <w:ilvl w:val="0"/>
          <w:numId w:val="1"/>
        </w:numPr>
        <w:spacing w:after="160" w:line="360" w:lineRule="auto"/>
        <w:contextualSpacing/>
        <w:jc w:val="both"/>
        <w:rPr>
          <w:rFonts w:eastAsiaTheme="minorHAnsi" w:cs="Arial"/>
          <w:b/>
          <w:lang w:eastAsia="en-US"/>
        </w:rPr>
      </w:pPr>
      <w:r w:rsidRPr="00814E8E">
        <w:rPr>
          <w:rFonts w:eastAsiaTheme="minorHAnsi" w:cs="Arial"/>
          <w:b/>
          <w:lang w:eastAsia="en-US"/>
        </w:rPr>
        <w:lastRenderedPageBreak/>
        <w:t>Partes Relacionadas</w:t>
      </w:r>
    </w:p>
    <w:p w:rsidR="00814E8E" w:rsidRPr="00814E8E" w:rsidRDefault="00814E8E" w:rsidP="00814E8E">
      <w:pPr>
        <w:spacing w:after="160" w:line="360" w:lineRule="auto"/>
        <w:ind w:left="360"/>
        <w:jc w:val="both"/>
        <w:rPr>
          <w:rFonts w:eastAsiaTheme="minorHAnsi" w:cs="Arial"/>
          <w:lang w:eastAsia="en-US"/>
        </w:rPr>
      </w:pPr>
      <w:r w:rsidRPr="00814E8E">
        <w:rPr>
          <w:rFonts w:eastAsiaTheme="minorHAnsi" w:cs="Arial"/>
          <w:lang w:eastAsia="en-US"/>
        </w:rPr>
        <w:t>No aplica</w:t>
      </w:r>
    </w:p>
    <w:p w:rsidR="005541C2" w:rsidRDefault="005541C2" w:rsidP="005541C2">
      <w:pPr>
        <w:spacing w:after="0"/>
        <w:rPr>
          <w:rFonts w:ascii="Arial" w:hAnsi="Arial" w:cs="Arial"/>
          <w:b/>
          <w:sz w:val="40"/>
        </w:rPr>
      </w:pPr>
    </w:p>
    <w:p w:rsidR="005541C2" w:rsidRDefault="005541C2" w:rsidP="005541C2">
      <w:pPr>
        <w:spacing w:after="0"/>
        <w:jc w:val="center"/>
        <w:rPr>
          <w:rFonts w:ascii="Arial" w:hAnsi="Arial" w:cs="Arial"/>
          <w:b/>
          <w:sz w:val="40"/>
        </w:rPr>
      </w:pPr>
    </w:p>
    <w:p w:rsidR="005541C2" w:rsidRDefault="005541C2" w:rsidP="005541C2">
      <w:pPr>
        <w:spacing w:after="0"/>
        <w:jc w:val="center"/>
        <w:rPr>
          <w:rFonts w:ascii="Arial" w:hAnsi="Arial" w:cs="Arial"/>
          <w:sz w:val="12"/>
          <w:szCs w:val="16"/>
        </w:rPr>
      </w:pPr>
    </w:p>
    <w:p w:rsidR="005541C2" w:rsidRPr="004F4558" w:rsidRDefault="005541C2" w:rsidP="005541C2">
      <w:pPr>
        <w:spacing w:after="0"/>
        <w:jc w:val="center"/>
        <w:rPr>
          <w:rFonts w:ascii="Arial" w:hAnsi="Arial" w:cs="Arial"/>
          <w:sz w:val="12"/>
          <w:szCs w:val="16"/>
        </w:rPr>
      </w:pPr>
    </w:p>
    <w:p w:rsidR="005541C2" w:rsidRDefault="005541C2" w:rsidP="005541C2">
      <w:pPr>
        <w:spacing w:after="0"/>
        <w:jc w:val="center"/>
        <w:rPr>
          <w:rFonts w:ascii="Arial" w:hAnsi="Arial" w:cs="Arial"/>
          <w:b/>
          <w:sz w:val="12"/>
          <w:szCs w:val="16"/>
        </w:rPr>
      </w:pPr>
      <w:r>
        <w:rPr>
          <w:rFonts w:ascii="Arial" w:hAnsi="Arial" w:cs="Arial"/>
          <w:b/>
          <w:sz w:val="12"/>
          <w:szCs w:val="16"/>
        </w:rPr>
        <w:t>Nota de Gestión Administrativa 17</w:t>
      </w:r>
    </w:p>
    <w:p w:rsidR="005541C2" w:rsidRDefault="005541C2" w:rsidP="005541C2">
      <w:pPr>
        <w:jc w:val="both"/>
      </w:pPr>
      <w:r>
        <w:rPr>
          <w:rFonts w:ascii="Arial" w:hAnsi="Arial" w:cs="Arial"/>
          <w:sz w:val="12"/>
          <w:szCs w:val="16"/>
        </w:rPr>
        <w:t>De conformidad con la nota de gestión administrativa número 17</w:t>
      </w:r>
      <w:r w:rsidRPr="0094554F">
        <w:t xml:space="preserve"> </w:t>
      </w:r>
      <w:r>
        <w:rPr>
          <w:rFonts w:ascii="Arial" w:hAnsi="Arial" w:cs="Arial"/>
          <w:sz w:val="12"/>
          <w:szCs w:val="16"/>
        </w:rPr>
        <w:t>l</w:t>
      </w:r>
      <w:r w:rsidRPr="0094554F">
        <w:rPr>
          <w:rFonts w:ascii="Arial" w:hAnsi="Arial" w:cs="Arial"/>
          <w:sz w:val="12"/>
          <w:szCs w:val="16"/>
        </w:rPr>
        <w:t>a Información Contable deberá estar firmada en cada página de la misma e incluir al final la siguiente leyenda: “Bajo protesta de decir verdad declaramos que los Estados Financieros y sus notas, son razonablemente correctos y son responsabilidad del emisor”</w:t>
      </w:r>
    </w:p>
    <w:p w:rsidR="005541C2" w:rsidRDefault="005541C2" w:rsidP="005541C2">
      <w:pPr>
        <w:spacing w:after="0"/>
        <w:rPr>
          <w:rFonts w:ascii="Arial" w:hAnsi="Arial" w:cs="Arial"/>
          <w:sz w:val="12"/>
          <w:szCs w:val="12"/>
        </w:rPr>
      </w:pPr>
    </w:p>
    <w:p w:rsidR="008B3FCF" w:rsidRPr="005541C2" w:rsidRDefault="008B3FCF" w:rsidP="005541C2"/>
    <w:sectPr w:rsidR="008B3FCF" w:rsidRPr="005541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41287"/>
    <w:multiLevelType w:val="hybridMultilevel"/>
    <w:tmpl w:val="D506F8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A61FC5"/>
    <w:multiLevelType w:val="hybridMultilevel"/>
    <w:tmpl w:val="C42EB3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0F6BE5"/>
    <w:multiLevelType w:val="hybridMultilevel"/>
    <w:tmpl w:val="17DC98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6"/>
  </w:num>
  <w:num w:numId="6">
    <w:abstractNumId w:val="1"/>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C2"/>
    <w:rsid w:val="00037650"/>
    <w:rsid w:val="005541C2"/>
    <w:rsid w:val="00561A15"/>
    <w:rsid w:val="00614592"/>
    <w:rsid w:val="00814E8E"/>
    <w:rsid w:val="008B3FCF"/>
    <w:rsid w:val="009720C7"/>
    <w:rsid w:val="00B6376A"/>
    <w:rsid w:val="00F94C2C"/>
    <w:rsid w:val="00FA7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099A3-31FC-468A-BA27-49AD897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C2"/>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541C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541C2"/>
    <w:rPr>
      <w:rFonts w:ascii="Arial" w:eastAsia="Times New Roman" w:hAnsi="Arial" w:cs="Arial"/>
      <w:sz w:val="18"/>
      <w:szCs w:val="20"/>
      <w:lang w:val="es-ES" w:eastAsia="es-ES"/>
    </w:rPr>
  </w:style>
  <w:style w:type="paragraph" w:customStyle="1" w:styleId="ROMANOS">
    <w:name w:val="ROMANOS"/>
    <w:basedOn w:val="Normal"/>
    <w:link w:val="ROMANOSCar"/>
    <w:rsid w:val="005541C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541C2"/>
    <w:rPr>
      <w:rFonts w:ascii="Arial" w:eastAsia="Times New Roman" w:hAnsi="Arial" w:cs="Arial"/>
      <w:sz w:val="18"/>
      <w:szCs w:val="18"/>
      <w:lang w:val="es-ES" w:eastAsia="es-ES"/>
    </w:rPr>
  </w:style>
  <w:style w:type="table" w:styleId="Tablaconcuadrcula">
    <w:name w:val="Table Grid"/>
    <w:basedOn w:val="Tablanormal"/>
    <w:uiPriority w:val="39"/>
    <w:rsid w:val="0081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9619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Maleini Virginia Flores Valdés</dc:creator>
  <cp:keywords/>
  <dc:description/>
  <cp:lastModifiedBy>SCERDA</cp:lastModifiedBy>
  <cp:revision>2</cp:revision>
  <dcterms:created xsi:type="dcterms:W3CDTF">2017-11-14T18:44:00Z</dcterms:created>
  <dcterms:modified xsi:type="dcterms:W3CDTF">2017-11-14T18:44:00Z</dcterms:modified>
</cp:coreProperties>
</file>