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rPr>
          <w:rFonts w:ascii="Arial" w:hAnsi="Arial" w:cs="Arial"/>
          <w:b/>
          <w:sz w:val="40"/>
        </w:rPr>
      </w:pPr>
    </w:p>
    <w:p w:rsidR="005541C2" w:rsidRDefault="005541C2" w:rsidP="005541C2">
      <w:pPr>
        <w:spacing w:after="0"/>
        <w:jc w:val="center"/>
        <w:rPr>
          <w:rFonts w:ascii="Arial" w:hAnsi="Arial" w:cs="Arial"/>
          <w:b/>
          <w:sz w:val="40"/>
        </w:rPr>
      </w:pPr>
      <w:bookmarkStart w:id="0" w:name="_GoBack"/>
      <w:bookmarkEnd w:id="0"/>
    </w:p>
    <w:p w:rsidR="005541C2" w:rsidRPr="004F4558" w:rsidRDefault="005541C2" w:rsidP="005541C2">
      <w:pPr>
        <w:spacing w:after="0"/>
        <w:jc w:val="center"/>
        <w:rPr>
          <w:rFonts w:ascii="Arial" w:hAnsi="Arial" w:cs="Arial"/>
          <w:b/>
          <w:sz w:val="40"/>
        </w:rPr>
      </w:pPr>
      <w:r w:rsidRPr="004F4558">
        <w:rPr>
          <w:rFonts w:ascii="Arial" w:hAnsi="Arial" w:cs="Arial"/>
          <w:b/>
          <w:sz w:val="40"/>
        </w:rPr>
        <w:t>INFORMACIÓN CONTABLE</w:t>
      </w:r>
    </w:p>
    <w:p w:rsidR="005541C2" w:rsidRPr="004F4558" w:rsidRDefault="005541C2" w:rsidP="005541C2">
      <w:pPr>
        <w:spacing w:after="0"/>
        <w:jc w:val="center"/>
        <w:rPr>
          <w:rFonts w:ascii="Arial" w:hAnsi="Arial" w:cs="Arial"/>
          <w:b/>
          <w:sz w:val="40"/>
        </w:rPr>
      </w:pPr>
      <w:r w:rsidRPr="004F4558">
        <w:rPr>
          <w:rFonts w:ascii="Arial" w:hAnsi="Arial" w:cs="Arial"/>
          <w:b/>
          <w:sz w:val="40"/>
        </w:rPr>
        <w:t>NOTAS A LOS ESTADOS FINANCIEROS</w:t>
      </w:r>
    </w:p>
    <w:p w:rsidR="005541C2" w:rsidRPr="004F4558" w:rsidRDefault="005541C2" w:rsidP="005541C2">
      <w:pPr>
        <w:spacing w:after="0"/>
        <w:jc w:val="center"/>
        <w:rPr>
          <w:rFonts w:ascii="Arial" w:hAnsi="Arial" w:cs="Arial"/>
          <w:b/>
          <w:sz w:val="40"/>
        </w:rPr>
      </w:pPr>
    </w:p>
    <w:p w:rsidR="005541C2" w:rsidRDefault="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Default="005541C2" w:rsidP="005541C2"/>
    <w:p w:rsidR="005541C2" w:rsidRPr="004F4558" w:rsidRDefault="005541C2" w:rsidP="005541C2">
      <w:pPr>
        <w:spacing w:after="0"/>
        <w:jc w:val="center"/>
        <w:rPr>
          <w:rFonts w:ascii="Arial" w:hAnsi="Arial" w:cs="Arial"/>
          <w:b/>
          <w:sz w:val="40"/>
        </w:rPr>
      </w:pPr>
    </w:p>
    <w:p w:rsidR="005541C2" w:rsidRDefault="005541C2" w:rsidP="005541C2">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5541C2" w:rsidRDefault="005541C2" w:rsidP="005541C2">
      <w:pPr>
        <w:spacing w:after="0"/>
        <w:rPr>
          <w:rFonts w:ascii="Arial" w:hAnsi="Arial" w:cs="Arial"/>
          <w:sz w:val="12"/>
          <w:szCs w:val="12"/>
        </w:rPr>
      </w:pPr>
    </w:p>
    <w:p w:rsidR="005541C2" w:rsidRDefault="005541C2" w:rsidP="005541C2">
      <w:pPr>
        <w:spacing w:after="0"/>
        <w:rPr>
          <w:rFonts w:ascii="Arial" w:hAnsi="Arial" w:cs="Arial"/>
          <w:sz w:val="12"/>
          <w:szCs w:val="12"/>
        </w:rPr>
      </w:pPr>
    </w:p>
    <w:p w:rsidR="005541C2" w:rsidRPr="004F4558" w:rsidRDefault="00F94C2C" w:rsidP="005541C2">
      <w:pPr>
        <w:pStyle w:val="Texto"/>
        <w:spacing w:after="80" w:line="203" w:lineRule="exact"/>
        <w:jc w:val="center"/>
        <w:rPr>
          <w:b/>
          <w:sz w:val="22"/>
          <w:szCs w:val="22"/>
        </w:rPr>
      </w:pPr>
      <w:r>
        <w:rPr>
          <w:b/>
          <w:sz w:val="22"/>
          <w:szCs w:val="22"/>
        </w:rPr>
        <w:lastRenderedPageBreak/>
        <w:t>c) NOTAS DE GESTIÓ</w:t>
      </w:r>
      <w:r w:rsidR="005541C2" w:rsidRPr="004F4558">
        <w:rPr>
          <w:b/>
          <w:sz w:val="22"/>
          <w:szCs w:val="22"/>
        </w:rPr>
        <w:t>N ADMINISTRATIVA</w:t>
      </w:r>
    </w:p>
    <w:p w:rsidR="005541C2" w:rsidRDefault="005541C2" w:rsidP="005541C2">
      <w:pPr>
        <w:pStyle w:val="Texto"/>
        <w:spacing w:after="80" w:line="203" w:lineRule="exact"/>
        <w:rPr>
          <w:smallCaps/>
          <w:sz w:val="22"/>
          <w:szCs w:val="22"/>
        </w:rPr>
      </w:pPr>
    </w:p>
    <w:p w:rsidR="005541C2" w:rsidRDefault="005541C2" w:rsidP="005541C2">
      <w:pPr>
        <w:pStyle w:val="ROMANOS"/>
        <w:spacing w:after="80" w:line="203" w:lineRule="exact"/>
        <w:ind w:left="288" w:firstLine="0"/>
        <w:rPr>
          <w:smallCaps/>
          <w:sz w:val="22"/>
          <w:szCs w:val="22"/>
        </w:rPr>
      </w:pPr>
      <w:r>
        <w:rPr>
          <w:color w:val="0070C0"/>
          <w:sz w:val="22"/>
          <w:szCs w:val="22"/>
          <w:lang w:val="es-MX"/>
        </w:rPr>
        <w:t xml:space="preserve">En cada una de las 16 notas de gestión administrativa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5541C2" w:rsidRPr="004F4558" w:rsidRDefault="005541C2" w:rsidP="005541C2">
      <w:pPr>
        <w:pStyle w:val="Texto"/>
        <w:spacing w:after="80" w:line="203" w:lineRule="exact"/>
        <w:rPr>
          <w:smallCaps/>
          <w:sz w:val="22"/>
          <w:szCs w:val="22"/>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Fecha de creación del ente.</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Principales cambios en su estructura.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Ejercicio fiscal.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Consideraciones fiscales del ente: revelar el tipo de contribuciones que esté obligado a pagar o retener.</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Si se ha observado la normatividad emitida por el CONAC y las disposiciones legales aplicables.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Postulados básicos.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Presentar los últimos estados financieros con la normatividad anteriormente utilizada con las nuevas políticas para fines de comparación en la transición a la base devengado.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Método de valuación de la inversión en acciones de Compañías subsidiarias no consolidadas y asociadas.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Sistema y método de valuación de inventarios y costo de lo vendido.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Beneficios a empleados: revelar el cálculo de la reserva actuarial, valor presente de los ingresos esperados comparado con el valor presente de la estimación de gastos tanto de los beneficiarios actuales como futuros.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Provisiones: objetivo de su creación, monto y plazo.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Reservas: objetivo de su creación, monto y plazo.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Cambios en políticas contables y corrección de errores junto con la revelación de los efectos que se tendrá en la información financiera del ente público, ya sea retrospectivos o prospectivos.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i)</w:t>
      </w:r>
      <w:r w:rsidRPr="004F4558">
        <w:rPr>
          <w:sz w:val="22"/>
          <w:szCs w:val="22"/>
          <w:lang w:val="es-MX"/>
        </w:rPr>
        <w:tab/>
        <w:t>Reclasificaciones: se deben revelar todos aquellos movimientos entre cuentas por efectos de cambios en los tipos de operaciones.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lastRenderedPageBreak/>
        <w:t>b)</w:t>
      </w:r>
      <w:r w:rsidRPr="004F4558">
        <w:rPr>
          <w:sz w:val="22"/>
          <w:szCs w:val="22"/>
          <w:lang w:val="es-MX"/>
        </w:rPr>
        <w:tab/>
        <w:t>Pasivos en moneda extranjera.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8. Reporte Analítico del Activo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Debe mostrar la siguiente información:</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Vida útil o porcentajes de depreciación, deterioro o amortización utilizados en los diferentes tipos de activos.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deberá informar:</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Análisis del comportamiento de la recaudación correspondiente al ente público o cualquier tipo de ingreso, de forma separada los ingresos locales de los federales.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12. Calificaciones otorgadas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de: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debe establecer por escrito que no existen partes relacionadas que pudieran ejercer influencia significativa sobre la toma de decisiones financieras y operativas.</w:t>
      </w:r>
    </w:p>
    <w:p w:rsidR="005541C2"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Default="005541C2" w:rsidP="005541C2">
      <w:pPr>
        <w:spacing w:after="0"/>
        <w:jc w:val="center"/>
        <w:rPr>
          <w:rFonts w:ascii="Arial" w:hAnsi="Arial" w:cs="Arial"/>
          <w:sz w:val="12"/>
          <w:szCs w:val="16"/>
        </w:rPr>
      </w:pPr>
    </w:p>
    <w:p w:rsidR="005541C2" w:rsidRPr="004F4558" w:rsidRDefault="005541C2" w:rsidP="005541C2">
      <w:pPr>
        <w:spacing w:after="0"/>
        <w:jc w:val="center"/>
        <w:rPr>
          <w:rFonts w:ascii="Arial" w:hAnsi="Arial" w:cs="Arial"/>
          <w:sz w:val="12"/>
          <w:szCs w:val="16"/>
        </w:rPr>
      </w:pPr>
    </w:p>
    <w:p w:rsidR="005541C2" w:rsidRDefault="005541C2" w:rsidP="005541C2">
      <w:pPr>
        <w:spacing w:after="0"/>
        <w:jc w:val="center"/>
        <w:rPr>
          <w:rFonts w:ascii="Arial" w:hAnsi="Arial" w:cs="Arial"/>
          <w:b/>
          <w:sz w:val="12"/>
          <w:szCs w:val="16"/>
        </w:rPr>
      </w:pPr>
      <w:r>
        <w:rPr>
          <w:rFonts w:ascii="Arial" w:hAnsi="Arial" w:cs="Arial"/>
          <w:b/>
          <w:sz w:val="12"/>
          <w:szCs w:val="16"/>
        </w:rPr>
        <w:t>Nota de Gestión Administrativa 17</w:t>
      </w:r>
    </w:p>
    <w:p w:rsidR="005541C2" w:rsidRDefault="005541C2" w:rsidP="005541C2">
      <w:pPr>
        <w:jc w:val="both"/>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541C2" w:rsidRDefault="005541C2" w:rsidP="005541C2">
      <w:pPr>
        <w:spacing w:after="0"/>
        <w:rPr>
          <w:rFonts w:ascii="Arial" w:hAnsi="Arial" w:cs="Arial"/>
          <w:sz w:val="12"/>
          <w:szCs w:val="12"/>
        </w:rPr>
      </w:pPr>
    </w:p>
    <w:p w:rsidR="008B3FCF" w:rsidRPr="005541C2" w:rsidRDefault="008B3FCF" w:rsidP="005541C2"/>
    <w:sectPr w:rsidR="008B3FCF" w:rsidRPr="00554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C2"/>
    <w:rsid w:val="005541C2"/>
    <w:rsid w:val="008B3FCF"/>
    <w:rsid w:val="00B6376A"/>
    <w:rsid w:val="00F94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099A3-31FC-468A-BA27-49AD897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1440</Words>
  <Characters>7921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Maleini Virginia Flores Valdés</cp:lastModifiedBy>
  <cp:revision>3</cp:revision>
  <dcterms:created xsi:type="dcterms:W3CDTF">2017-06-07T19:25:00Z</dcterms:created>
  <dcterms:modified xsi:type="dcterms:W3CDTF">2017-10-04T14:49:00Z</dcterms:modified>
</cp:coreProperties>
</file>